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0E" w:rsidRPr="00571DBF" w:rsidRDefault="00924E0E" w:rsidP="00924E0E">
      <w:pPr>
        <w:pStyle w:val="2"/>
        <w:spacing w:before="0" w:beforeAutospacing="0" w:after="0" w:afterAutospacing="0"/>
        <w:jc w:val="center"/>
        <w:rPr>
          <w:color w:val="auto"/>
          <w:sz w:val="27"/>
          <w:szCs w:val="27"/>
        </w:rPr>
      </w:pPr>
      <w:r w:rsidRPr="00571DBF">
        <w:rPr>
          <w:caps/>
          <w:color w:val="auto"/>
          <w:sz w:val="27"/>
          <w:szCs w:val="27"/>
        </w:rPr>
        <w:t>Экспертное</w:t>
      </w:r>
      <w:r w:rsidRPr="00571DBF">
        <w:rPr>
          <w:color w:val="auto"/>
          <w:sz w:val="27"/>
          <w:szCs w:val="27"/>
        </w:rPr>
        <w:t xml:space="preserve"> ЗАКЛЮЧЕНИЕ </w:t>
      </w:r>
    </w:p>
    <w:p w:rsidR="00924E0E" w:rsidRPr="00571DBF" w:rsidRDefault="00924E0E" w:rsidP="00924E0E">
      <w:pPr>
        <w:pStyle w:val="2"/>
        <w:spacing w:before="0" w:beforeAutospacing="0" w:after="0" w:afterAutospacing="0"/>
        <w:jc w:val="center"/>
        <w:rPr>
          <w:color w:val="auto"/>
          <w:sz w:val="27"/>
          <w:szCs w:val="27"/>
        </w:rPr>
      </w:pPr>
      <w:r w:rsidRPr="00571DBF">
        <w:rPr>
          <w:color w:val="auto"/>
          <w:sz w:val="27"/>
          <w:szCs w:val="27"/>
        </w:rPr>
        <w:t>Контрольно-счётной палаты города Волгодонска</w:t>
      </w:r>
    </w:p>
    <w:p w:rsidR="00924E0E" w:rsidRPr="00571DBF" w:rsidRDefault="00924E0E" w:rsidP="00924E0E">
      <w:pPr>
        <w:pStyle w:val="2"/>
        <w:spacing w:before="0" w:beforeAutospacing="0" w:after="0" w:afterAutospacing="0"/>
        <w:jc w:val="center"/>
        <w:rPr>
          <w:color w:val="auto"/>
          <w:sz w:val="27"/>
          <w:szCs w:val="27"/>
        </w:rPr>
      </w:pPr>
      <w:r w:rsidRPr="00571DBF">
        <w:rPr>
          <w:color w:val="auto"/>
          <w:sz w:val="27"/>
          <w:szCs w:val="27"/>
        </w:rPr>
        <w:t xml:space="preserve">по результатам внешней проверки отчёта об исполнении бюджета </w:t>
      </w:r>
    </w:p>
    <w:p w:rsidR="00924E0E" w:rsidRPr="00571DBF" w:rsidRDefault="00924E0E" w:rsidP="00924E0E">
      <w:pPr>
        <w:pStyle w:val="2"/>
        <w:spacing w:before="0" w:beforeAutospacing="0" w:after="0" w:afterAutospacing="0"/>
        <w:jc w:val="center"/>
        <w:rPr>
          <w:color w:val="auto"/>
          <w:sz w:val="27"/>
          <w:szCs w:val="27"/>
        </w:rPr>
      </w:pPr>
      <w:r w:rsidRPr="00571DBF">
        <w:rPr>
          <w:color w:val="auto"/>
          <w:sz w:val="27"/>
          <w:szCs w:val="27"/>
        </w:rPr>
        <w:t>города Волгодонска за 201</w:t>
      </w:r>
      <w:r w:rsidR="00550DF1">
        <w:rPr>
          <w:color w:val="auto"/>
          <w:sz w:val="27"/>
          <w:szCs w:val="27"/>
        </w:rPr>
        <w:t>4</w:t>
      </w:r>
      <w:r w:rsidRPr="00571DBF">
        <w:rPr>
          <w:color w:val="auto"/>
          <w:sz w:val="27"/>
          <w:szCs w:val="27"/>
        </w:rPr>
        <w:t xml:space="preserve"> год</w:t>
      </w:r>
    </w:p>
    <w:p w:rsidR="00924E0E" w:rsidRPr="00571DBF" w:rsidRDefault="00924E0E" w:rsidP="00924E0E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24E0E" w:rsidRPr="00571DBF" w:rsidRDefault="00550DF1" w:rsidP="00C54A0B">
      <w:pPr>
        <w:pStyle w:val="a3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</w:t>
      </w:r>
      <w:r w:rsidR="00924E0E" w:rsidRPr="00571DBF">
        <w:rPr>
          <w:rFonts w:ascii="Times New Roman" w:hAnsi="Times New Roman" w:cs="Times New Roman"/>
          <w:sz w:val="27"/>
          <w:szCs w:val="27"/>
        </w:rPr>
        <w:t xml:space="preserve"> апреля 201</w:t>
      </w:r>
      <w:r>
        <w:rPr>
          <w:rFonts w:ascii="Times New Roman" w:hAnsi="Times New Roman" w:cs="Times New Roman"/>
          <w:sz w:val="27"/>
          <w:szCs w:val="27"/>
        </w:rPr>
        <w:t>5</w:t>
      </w:r>
      <w:r w:rsidR="00924E0E" w:rsidRPr="00571DBF">
        <w:rPr>
          <w:rFonts w:ascii="Times New Roman" w:hAnsi="Times New Roman" w:cs="Times New Roman"/>
          <w:sz w:val="27"/>
          <w:szCs w:val="27"/>
        </w:rPr>
        <w:t xml:space="preserve"> года</w:t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</w:r>
      <w:r w:rsidR="00924E0E" w:rsidRPr="00571DBF">
        <w:rPr>
          <w:rFonts w:ascii="Times New Roman" w:hAnsi="Times New Roman" w:cs="Times New Roman"/>
          <w:sz w:val="27"/>
          <w:szCs w:val="27"/>
        </w:rPr>
        <w:tab/>
        <w:t xml:space="preserve">        г.Волгодонск</w:t>
      </w:r>
    </w:p>
    <w:p w:rsidR="00D942AC" w:rsidRDefault="00D942AC" w:rsidP="00C54A0B">
      <w:pPr>
        <w:ind w:firstLine="709"/>
        <w:jc w:val="both"/>
        <w:rPr>
          <w:color w:val="000000"/>
          <w:sz w:val="27"/>
          <w:szCs w:val="27"/>
        </w:rPr>
      </w:pPr>
    </w:p>
    <w:p w:rsidR="00924E0E" w:rsidRPr="00571DBF" w:rsidRDefault="00924E0E" w:rsidP="00C54A0B">
      <w:pPr>
        <w:ind w:firstLine="709"/>
        <w:jc w:val="both"/>
        <w:rPr>
          <w:color w:val="000000"/>
          <w:sz w:val="27"/>
          <w:szCs w:val="27"/>
        </w:rPr>
      </w:pPr>
      <w:r w:rsidRPr="00571DBF">
        <w:rPr>
          <w:color w:val="000000"/>
          <w:sz w:val="27"/>
          <w:szCs w:val="27"/>
        </w:rPr>
        <w:t>Заключение Контрольно-счётной палаты города Волгодонска по результатам внешней проверки отчёта об исполнении бюджета города Волгодонска за 201</w:t>
      </w:r>
      <w:r w:rsidR="00D27730">
        <w:rPr>
          <w:color w:val="000000"/>
          <w:sz w:val="27"/>
          <w:szCs w:val="27"/>
        </w:rPr>
        <w:t xml:space="preserve">4 </w:t>
      </w:r>
      <w:r w:rsidRPr="00571DBF">
        <w:rPr>
          <w:color w:val="000000"/>
          <w:sz w:val="27"/>
          <w:szCs w:val="27"/>
        </w:rPr>
        <w:t xml:space="preserve">год (далее Заключение) подготовлено в соответствии со статьей 264.4 Бюджетного кодекса Российской Федерации (далее БК РФ), решениями Волгодонской городской Думы от 16.11.2011 №120 «Об утверждении Положения о Контрольно-счётной палате города Волгодонска в новой редакции и штатной численности Контрольно-счётной палаты города Волгодонска», от 05.09.2007 №110 «О бюджетном процессе в городе Волгодонске» (далее Положение о бюджетном процессе) и иными нормативно-правовыми актами Российской Федерации, Ростовской области и города Волгодонска. </w:t>
      </w:r>
    </w:p>
    <w:p w:rsidR="00E314CF" w:rsidRPr="00E314CF" w:rsidRDefault="00E314CF" w:rsidP="00C54A0B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314CF">
        <w:rPr>
          <w:sz w:val="26"/>
          <w:szCs w:val="26"/>
        </w:rPr>
        <w:t>Результаты провед</w:t>
      </w:r>
      <w:r w:rsidR="00100527">
        <w:rPr>
          <w:sz w:val="26"/>
          <w:szCs w:val="26"/>
        </w:rPr>
        <w:t>ё</w:t>
      </w:r>
      <w:r w:rsidRPr="00E314CF">
        <w:rPr>
          <w:sz w:val="26"/>
          <w:szCs w:val="26"/>
        </w:rPr>
        <w:t xml:space="preserve">нной </w:t>
      </w:r>
      <w:r w:rsidRPr="00571DBF">
        <w:rPr>
          <w:color w:val="000000"/>
          <w:sz w:val="27"/>
          <w:szCs w:val="27"/>
        </w:rPr>
        <w:t>Контрольно-счётн</w:t>
      </w:r>
      <w:r w:rsidR="00A44259">
        <w:rPr>
          <w:color w:val="000000"/>
          <w:sz w:val="27"/>
          <w:szCs w:val="27"/>
        </w:rPr>
        <w:t>ой</w:t>
      </w:r>
      <w:r w:rsidRPr="00571DBF">
        <w:rPr>
          <w:color w:val="000000"/>
          <w:sz w:val="27"/>
          <w:szCs w:val="27"/>
        </w:rPr>
        <w:t xml:space="preserve"> палат</w:t>
      </w:r>
      <w:r w:rsidR="00A44259">
        <w:rPr>
          <w:color w:val="000000"/>
          <w:sz w:val="27"/>
          <w:szCs w:val="27"/>
        </w:rPr>
        <w:t>ой</w:t>
      </w:r>
      <w:r w:rsidRPr="00571DBF">
        <w:rPr>
          <w:color w:val="000000"/>
          <w:sz w:val="27"/>
          <w:szCs w:val="27"/>
        </w:rPr>
        <w:t xml:space="preserve"> города Волгодонска </w:t>
      </w:r>
      <w:r w:rsidRPr="00571DBF">
        <w:rPr>
          <w:sz w:val="27"/>
          <w:szCs w:val="27"/>
        </w:rPr>
        <w:t>(далее Контрольно-счётная палата или Палата)</w:t>
      </w:r>
      <w:r w:rsidR="00A44259">
        <w:rPr>
          <w:sz w:val="27"/>
          <w:szCs w:val="27"/>
        </w:rPr>
        <w:t xml:space="preserve"> </w:t>
      </w:r>
      <w:r w:rsidRPr="00E314CF">
        <w:rPr>
          <w:sz w:val="26"/>
          <w:szCs w:val="26"/>
        </w:rPr>
        <w:t>экспертизы, отраж</w:t>
      </w:r>
      <w:r w:rsidR="00A44259">
        <w:rPr>
          <w:sz w:val="26"/>
          <w:szCs w:val="26"/>
        </w:rPr>
        <w:t>ё</w:t>
      </w:r>
      <w:r w:rsidRPr="00E314CF">
        <w:rPr>
          <w:sz w:val="26"/>
          <w:szCs w:val="26"/>
        </w:rPr>
        <w:t>нные в настоящем Заключении, основаны на отч</w:t>
      </w:r>
      <w:r w:rsidR="00A44259">
        <w:rPr>
          <w:sz w:val="26"/>
          <w:szCs w:val="26"/>
        </w:rPr>
        <w:t>ё</w:t>
      </w:r>
      <w:r w:rsidRPr="00E314CF">
        <w:rPr>
          <w:sz w:val="26"/>
          <w:szCs w:val="26"/>
        </w:rPr>
        <w:t xml:space="preserve">те об исполнении бюджета </w:t>
      </w:r>
      <w:r w:rsidR="00A44259">
        <w:rPr>
          <w:sz w:val="26"/>
          <w:szCs w:val="26"/>
        </w:rPr>
        <w:t>города</w:t>
      </w:r>
      <w:r w:rsidR="003D67D1">
        <w:rPr>
          <w:sz w:val="26"/>
          <w:szCs w:val="26"/>
        </w:rPr>
        <w:t xml:space="preserve"> Волгодонска</w:t>
      </w:r>
      <w:r w:rsidRPr="00E314CF">
        <w:rPr>
          <w:sz w:val="26"/>
          <w:szCs w:val="26"/>
        </w:rPr>
        <w:t xml:space="preserve"> за 201</w:t>
      </w:r>
      <w:r w:rsidR="00A44259">
        <w:rPr>
          <w:sz w:val="26"/>
          <w:szCs w:val="26"/>
        </w:rPr>
        <w:t>4</w:t>
      </w:r>
      <w:r w:rsidRPr="00E314CF">
        <w:rPr>
          <w:sz w:val="26"/>
          <w:szCs w:val="26"/>
        </w:rPr>
        <w:t xml:space="preserve"> год, представленном в форме проекта решения </w:t>
      </w:r>
      <w:r w:rsidR="00A44259">
        <w:rPr>
          <w:sz w:val="26"/>
          <w:szCs w:val="26"/>
        </w:rPr>
        <w:t xml:space="preserve">Волгодонской городской </w:t>
      </w:r>
      <w:r w:rsidRPr="00E314CF">
        <w:rPr>
          <w:sz w:val="26"/>
          <w:szCs w:val="26"/>
        </w:rPr>
        <w:t xml:space="preserve">Думы </w:t>
      </w:r>
      <w:r w:rsidR="00A44259">
        <w:rPr>
          <w:sz w:val="26"/>
          <w:szCs w:val="26"/>
        </w:rPr>
        <w:t>«</w:t>
      </w:r>
      <w:r w:rsidRPr="00E314CF">
        <w:rPr>
          <w:sz w:val="26"/>
          <w:szCs w:val="26"/>
        </w:rPr>
        <w:t xml:space="preserve">Об </w:t>
      </w:r>
      <w:r w:rsidR="00A44259">
        <w:rPr>
          <w:sz w:val="26"/>
          <w:szCs w:val="26"/>
        </w:rPr>
        <w:t>отчёте</w:t>
      </w:r>
      <w:r w:rsidRPr="00E314CF">
        <w:rPr>
          <w:sz w:val="26"/>
          <w:szCs w:val="26"/>
        </w:rPr>
        <w:t xml:space="preserve"> об исполнении бюджета </w:t>
      </w:r>
      <w:r w:rsidR="00A44259">
        <w:rPr>
          <w:sz w:val="26"/>
          <w:szCs w:val="26"/>
        </w:rPr>
        <w:t xml:space="preserve">города Волгодонска за 2014 год» (далее </w:t>
      </w:r>
      <w:r w:rsidRPr="00E314CF">
        <w:rPr>
          <w:sz w:val="26"/>
          <w:szCs w:val="26"/>
        </w:rPr>
        <w:t>Проект решения</w:t>
      </w:r>
      <w:r w:rsidR="00100527">
        <w:rPr>
          <w:sz w:val="26"/>
          <w:szCs w:val="26"/>
        </w:rPr>
        <w:t xml:space="preserve"> Думы</w:t>
      </w:r>
      <w:r w:rsidRPr="00E314CF">
        <w:rPr>
          <w:sz w:val="26"/>
          <w:szCs w:val="26"/>
        </w:rPr>
        <w:t xml:space="preserve">) </w:t>
      </w:r>
      <w:r w:rsidRPr="00E314CF">
        <w:rPr>
          <w:rFonts w:eastAsia="Calibri"/>
          <w:sz w:val="26"/>
          <w:szCs w:val="26"/>
          <w:lang w:eastAsia="en-US"/>
        </w:rPr>
        <w:t>с уч</w:t>
      </w:r>
      <w:r w:rsidR="00A44259">
        <w:rPr>
          <w:rFonts w:eastAsia="Calibri"/>
          <w:sz w:val="26"/>
          <w:szCs w:val="26"/>
          <w:lang w:eastAsia="en-US"/>
        </w:rPr>
        <w:t>ё</w:t>
      </w:r>
      <w:r w:rsidRPr="00E314CF">
        <w:rPr>
          <w:rFonts w:eastAsia="Calibri"/>
          <w:sz w:val="26"/>
          <w:szCs w:val="26"/>
          <w:lang w:eastAsia="en-US"/>
        </w:rPr>
        <w:t xml:space="preserve">том данных внешней проверки </w:t>
      </w:r>
      <w:r w:rsidR="003D67D1">
        <w:rPr>
          <w:rFonts w:eastAsia="Calibri"/>
          <w:sz w:val="26"/>
          <w:szCs w:val="26"/>
          <w:lang w:eastAsia="en-US"/>
        </w:rPr>
        <w:t xml:space="preserve">годовой отчётности об исполнении бюджета города за 2014 год, представленной Финансовым управлением города Волгодонска в Министерство финансов Ростовской области, и </w:t>
      </w:r>
      <w:r w:rsidRPr="00E314CF">
        <w:rPr>
          <w:rFonts w:eastAsia="Calibri"/>
          <w:sz w:val="26"/>
          <w:szCs w:val="26"/>
          <w:lang w:eastAsia="en-US"/>
        </w:rPr>
        <w:t>годовой бюджетной отч</w:t>
      </w:r>
      <w:r w:rsidR="003D67D1">
        <w:rPr>
          <w:rFonts w:eastAsia="Calibri"/>
          <w:sz w:val="26"/>
          <w:szCs w:val="26"/>
          <w:lang w:eastAsia="en-US"/>
        </w:rPr>
        <w:t>ё</w:t>
      </w:r>
      <w:r w:rsidRPr="00E314CF">
        <w:rPr>
          <w:rFonts w:eastAsia="Calibri"/>
          <w:sz w:val="26"/>
          <w:szCs w:val="26"/>
          <w:lang w:eastAsia="en-US"/>
        </w:rPr>
        <w:t>тности 1</w:t>
      </w:r>
      <w:r w:rsidR="00A44259">
        <w:rPr>
          <w:rFonts w:eastAsia="Calibri"/>
          <w:sz w:val="26"/>
          <w:szCs w:val="26"/>
          <w:lang w:eastAsia="en-US"/>
        </w:rPr>
        <w:t>1</w:t>
      </w:r>
      <w:r w:rsidRPr="00E314CF">
        <w:rPr>
          <w:sz w:val="26"/>
          <w:szCs w:val="26"/>
        </w:rPr>
        <w:t xml:space="preserve"> главных администраторов средств бюджета </w:t>
      </w:r>
      <w:r w:rsidR="00A44259">
        <w:rPr>
          <w:sz w:val="26"/>
          <w:szCs w:val="26"/>
        </w:rPr>
        <w:t>города</w:t>
      </w:r>
      <w:r w:rsidR="00524674">
        <w:rPr>
          <w:sz w:val="26"/>
          <w:szCs w:val="26"/>
        </w:rPr>
        <w:t xml:space="preserve"> Волгодонска – </w:t>
      </w:r>
      <w:r w:rsidRPr="00E314CF">
        <w:rPr>
          <w:sz w:val="26"/>
          <w:szCs w:val="26"/>
        </w:rPr>
        <w:t>органов местного</w:t>
      </w:r>
      <w:r w:rsidR="003D67D1">
        <w:rPr>
          <w:sz w:val="26"/>
          <w:szCs w:val="26"/>
        </w:rPr>
        <w:t xml:space="preserve"> самоуправления и органов А</w:t>
      </w:r>
      <w:r w:rsidRPr="00E314CF">
        <w:rPr>
          <w:sz w:val="26"/>
          <w:szCs w:val="26"/>
        </w:rPr>
        <w:t xml:space="preserve">дминистрации города </w:t>
      </w:r>
      <w:r w:rsidR="003D67D1">
        <w:rPr>
          <w:sz w:val="26"/>
          <w:szCs w:val="26"/>
        </w:rPr>
        <w:t>Волгодонска.</w:t>
      </w:r>
    </w:p>
    <w:p w:rsidR="00E314CF" w:rsidRPr="00E314CF" w:rsidRDefault="00E314CF" w:rsidP="00C54A0B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314CF">
        <w:rPr>
          <w:sz w:val="26"/>
          <w:szCs w:val="26"/>
        </w:rPr>
        <w:t xml:space="preserve">При подготовке </w:t>
      </w:r>
      <w:r w:rsidR="003D67D1">
        <w:rPr>
          <w:sz w:val="26"/>
          <w:szCs w:val="26"/>
        </w:rPr>
        <w:t>З</w:t>
      </w:r>
      <w:r w:rsidRPr="00E314CF">
        <w:rPr>
          <w:sz w:val="26"/>
          <w:szCs w:val="26"/>
        </w:rPr>
        <w:t>аключения использована информация</w:t>
      </w:r>
      <w:r w:rsidR="009F5110">
        <w:rPr>
          <w:sz w:val="26"/>
          <w:szCs w:val="26"/>
        </w:rPr>
        <w:t>, представленная по запросам</w:t>
      </w:r>
      <w:r w:rsidRPr="00E314CF">
        <w:rPr>
          <w:rFonts w:eastAsiaTheme="minorHAnsi"/>
          <w:sz w:val="26"/>
          <w:szCs w:val="26"/>
          <w:lang w:eastAsia="en-US"/>
        </w:rPr>
        <w:t xml:space="preserve"> </w:t>
      </w:r>
      <w:r w:rsidR="009F5110">
        <w:rPr>
          <w:sz w:val="26"/>
          <w:szCs w:val="26"/>
        </w:rPr>
        <w:t xml:space="preserve">Контрольно-счётной палаты </w:t>
      </w:r>
      <w:r w:rsidR="009F5110" w:rsidRPr="001B37FA">
        <w:rPr>
          <w:sz w:val="26"/>
          <w:szCs w:val="26"/>
        </w:rPr>
        <w:t>Управлением Федерального казначейства по Ростовской области</w:t>
      </w:r>
      <w:r w:rsidR="008E3185">
        <w:rPr>
          <w:sz w:val="26"/>
          <w:szCs w:val="26"/>
        </w:rPr>
        <w:t>,</w:t>
      </w:r>
      <w:r w:rsidR="009F5110" w:rsidRPr="001B37FA">
        <w:rPr>
          <w:sz w:val="26"/>
          <w:szCs w:val="26"/>
        </w:rPr>
        <w:t xml:space="preserve"> </w:t>
      </w:r>
      <w:r w:rsidR="009F5110">
        <w:rPr>
          <w:sz w:val="26"/>
          <w:szCs w:val="26"/>
        </w:rPr>
        <w:t>Финансовым управлением города Волгодонска (далее Финансовое управление), Комитетом по управлению имуществом города Волгодонска</w:t>
      </w:r>
      <w:r w:rsidR="009F5110" w:rsidRPr="00E314CF">
        <w:rPr>
          <w:sz w:val="26"/>
          <w:szCs w:val="26"/>
        </w:rPr>
        <w:t xml:space="preserve"> </w:t>
      </w:r>
      <w:r w:rsidR="009F5110" w:rsidRPr="00571DBF">
        <w:rPr>
          <w:sz w:val="27"/>
          <w:szCs w:val="27"/>
        </w:rPr>
        <w:t>(далее Ко</w:t>
      </w:r>
      <w:r w:rsidR="009F5110">
        <w:rPr>
          <w:sz w:val="27"/>
          <w:szCs w:val="27"/>
        </w:rPr>
        <w:t xml:space="preserve">митет по управлению имуществом), </w:t>
      </w:r>
      <w:r w:rsidRPr="00E314CF">
        <w:rPr>
          <w:sz w:val="26"/>
          <w:szCs w:val="26"/>
        </w:rPr>
        <w:t>а также результаты контрольных и экспертно-аналитических мероприятий, провед</w:t>
      </w:r>
      <w:r w:rsidR="009F5110">
        <w:rPr>
          <w:sz w:val="26"/>
          <w:szCs w:val="26"/>
        </w:rPr>
        <w:t>ё</w:t>
      </w:r>
      <w:r w:rsidRPr="00E314CF">
        <w:rPr>
          <w:sz w:val="26"/>
          <w:szCs w:val="26"/>
        </w:rPr>
        <w:t>нных Контрольно-счетной палатой в 201</w:t>
      </w:r>
      <w:r w:rsidR="003D67D1">
        <w:rPr>
          <w:sz w:val="26"/>
          <w:szCs w:val="26"/>
        </w:rPr>
        <w:t>4</w:t>
      </w:r>
      <w:r w:rsidRPr="00E314CF">
        <w:rPr>
          <w:sz w:val="26"/>
          <w:szCs w:val="26"/>
        </w:rPr>
        <w:t xml:space="preserve"> году и 1 квартале 201</w:t>
      </w:r>
      <w:r w:rsidR="003D67D1">
        <w:rPr>
          <w:sz w:val="26"/>
          <w:szCs w:val="26"/>
        </w:rPr>
        <w:t>5</w:t>
      </w:r>
      <w:r w:rsidRPr="00E314CF">
        <w:rPr>
          <w:sz w:val="26"/>
          <w:szCs w:val="26"/>
        </w:rPr>
        <w:t xml:space="preserve"> года.</w:t>
      </w:r>
    </w:p>
    <w:p w:rsidR="008E3185" w:rsidRDefault="00100527" w:rsidP="00C54A0B">
      <w:pPr>
        <w:ind w:firstLine="709"/>
        <w:jc w:val="both"/>
        <w:rPr>
          <w:color w:val="000000"/>
          <w:sz w:val="27"/>
          <w:szCs w:val="27"/>
        </w:rPr>
      </w:pPr>
      <w:r w:rsidRPr="00E314CF">
        <w:rPr>
          <w:sz w:val="26"/>
          <w:szCs w:val="26"/>
          <w:lang w:eastAsia="en-US"/>
        </w:rPr>
        <w:t>Отч</w:t>
      </w:r>
      <w:r w:rsidR="00EE040E">
        <w:rPr>
          <w:sz w:val="26"/>
          <w:szCs w:val="26"/>
          <w:lang w:eastAsia="en-US"/>
        </w:rPr>
        <w:t>ё</w:t>
      </w:r>
      <w:r w:rsidRPr="00E314CF">
        <w:rPr>
          <w:sz w:val="26"/>
          <w:szCs w:val="26"/>
          <w:lang w:eastAsia="en-US"/>
        </w:rPr>
        <w:t xml:space="preserve">т об исполнении бюджета </w:t>
      </w:r>
      <w:r>
        <w:rPr>
          <w:sz w:val="26"/>
          <w:szCs w:val="26"/>
          <w:lang w:eastAsia="en-US"/>
        </w:rPr>
        <w:t xml:space="preserve">города Волгодонска за 2014 год </w:t>
      </w:r>
      <w:r w:rsidRPr="00571DBF">
        <w:rPr>
          <w:color w:val="000000"/>
          <w:sz w:val="27"/>
          <w:szCs w:val="27"/>
        </w:rPr>
        <w:t>(далее Отчёт)</w:t>
      </w:r>
      <w:r>
        <w:rPr>
          <w:color w:val="000000"/>
          <w:sz w:val="27"/>
          <w:szCs w:val="27"/>
        </w:rPr>
        <w:t xml:space="preserve"> </w:t>
      </w:r>
      <w:r w:rsidRPr="00E314CF">
        <w:rPr>
          <w:sz w:val="26"/>
          <w:szCs w:val="26"/>
          <w:lang w:eastAsia="en-US"/>
        </w:rPr>
        <w:t>представлен в Контрольно-сч</w:t>
      </w:r>
      <w:r>
        <w:rPr>
          <w:sz w:val="26"/>
          <w:szCs w:val="26"/>
          <w:lang w:eastAsia="en-US"/>
        </w:rPr>
        <w:t>ё</w:t>
      </w:r>
      <w:r w:rsidRPr="00E314CF">
        <w:rPr>
          <w:sz w:val="26"/>
          <w:szCs w:val="26"/>
          <w:lang w:eastAsia="en-US"/>
        </w:rPr>
        <w:t xml:space="preserve">тную палату </w:t>
      </w:r>
      <w:r>
        <w:rPr>
          <w:sz w:val="26"/>
          <w:szCs w:val="26"/>
          <w:lang w:eastAsia="en-US"/>
        </w:rPr>
        <w:t xml:space="preserve">25.03.2014г., </w:t>
      </w:r>
      <w:r w:rsidRPr="00571DBF">
        <w:rPr>
          <w:color w:val="000000"/>
          <w:sz w:val="27"/>
          <w:szCs w:val="27"/>
        </w:rPr>
        <w:t>что соответствует требованиям статьи 264.4 БК РФ и статьи 51 Положения о бюджетном процессе.</w:t>
      </w:r>
    </w:p>
    <w:p w:rsidR="00D942AC" w:rsidRPr="008E3185" w:rsidRDefault="00C73483" w:rsidP="00C54A0B">
      <w:pPr>
        <w:pStyle w:val="ac"/>
        <w:ind w:left="0"/>
        <w:jc w:val="center"/>
        <w:rPr>
          <w:color w:val="000000"/>
          <w:sz w:val="27"/>
          <w:szCs w:val="27"/>
        </w:rPr>
      </w:pPr>
      <w:r>
        <w:rPr>
          <w:b/>
          <w:sz w:val="26"/>
          <w:szCs w:val="26"/>
          <w:lang w:eastAsia="en-US"/>
        </w:rPr>
        <w:t>1.</w:t>
      </w:r>
      <w:r w:rsidR="00D942AC" w:rsidRPr="008E3185">
        <w:rPr>
          <w:b/>
          <w:sz w:val="26"/>
          <w:szCs w:val="26"/>
          <w:lang w:eastAsia="en-US"/>
        </w:rPr>
        <w:t>Общая характеристика исполнения бюджета</w:t>
      </w:r>
    </w:p>
    <w:p w:rsidR="00D942AC" w:rsidRPr="00D942AC" w:rsidRDefault="00D942AC" w:rsidP="00C54A0B">
      <w:pPr>
        <w:pStyle w:val="ac"/>
        <w:ind w:left="0"/>
        <w:jc w:val="center"/>
        <w:rPr>
          <w:b/>
          <w:sz w:val="26"/>
          <w:szCs w:val="26"/>
          <w:lang w:eastAsia="en-US"/>
        </w:rPr>
      </w:pPr>
      <w:r w:rsidRPr="00D942AC">
        <w:rPr>
          <w:b/>
          <w:sz w:val="26"/>
          <w:szCs w:val="26"/>
          <w:lang w:eastAsia="en-US"/>
        </w:rPr>
        <w:t>города Волгодонска за 2014 год</w:t>
      </w:r>
    </w:p>
    <w:p w:rsidR="00CD40C4" w:rsidRDefault="00CD40C4" w:rsidP="00C54A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924E0E" w:rsidRPr="00571DBF">
        <w:rPr>
          <w:sz w:val="27"/>
          <w:szCs w:val="27"/>
        </w:rPr>
        <w:t xml:space="preserve">ешением Волгодонской городской Думы </w:t>
      </w:r>
      <w:r>
        <w:rPr>
          <w:sz w:val="27"/>
          <w:szCs w:val="27"/>
        </w:rPr>
        <w:t xml:space="preserve">от 19.12.2013 </w:t>
      </w:r>
      <w:r w:rsidR="00924E0E" w:rsidRPr="00571DBF">
        <w:rPr>
          <w:sz w:val="27"/>
          <w:szCs w:val="27"/>
        </w:rPr>
        <w:t>№100 «О бюджете города Волгодонска на 201</w:t>
      </w:r>
      <w:r>
        <w:rPr>
          <w:sz w:val="27"/>
          <w:szCs w:val="27"/>
        </w:rPr>
        <w:t>4</w:t>
      </w:r>
      <w:r w:rsidR="00924E0E" w:rsidRPr="00571DBF">
        <w:rPr>
          <w:sz w:val="27"/>
          <w:szCs w:val="27"/>
        </w:rPr>
        <w:t xml:space="preserve"> год и на плановый период 201</w:t>
      </w:r>
      <w:r>
        <w:rPr>
          <w:sz w:val="27"/>
          <w:szCs w:val="27"/>
        </w:rPr>
        <w:t>5</w:t>
      </w:r>
      <w:r w:rsidR="00924E0E" w:rsidRPr="00571DBF">
        <w:rPr>
          <w:sz w:val="27"/>
          <w:szCs w:val="27"/>
        </w:rPr>
        <w:t xml:space="preserve"> и 201</w:t>
      </w:r>
      <w:r>
        <w:rPr>
          <w:sz w:val="27"/>
          <w:szCs w:val="27"/>
        </w:rPr>
        <w:t>6</w:t>
      </w:r>
      <w:r w:rsidR="00924E0E" w:rsidRPr="00571DBF">
        <w:rPr>
          <w:sz w:val="27"/>
          <w:szCs w:val="27"/>
        </w:rPr>
        <w:t xml:space="preserve"> годов» (далее первоначальное решение) </w:t>
      </w:r>
      <w:r>
        <w:rPr>
          <w:sz w:val="27"/>
          <w:szCs w:val="27"/>
        </w:rPr>
        <w:t xml:space="preserve">утверждены основные характеристики </w:t>
      </w:r>
      <w:r w:rsidR="00924E0E" w:rsidRPr="00571DBF">
        <w:rPr>
          <w:sz w:val="27"/>
          <w:szCs w:val="27"/>
        </w:rPr>
        <w:t>бюджета города Волгодонска (далее бюджет города или местный бюджет) на 201</w:t>
      </w:r>
      <w:r>
        <w:rPr>
          <w:sz w:val="27"/>
          <w:szCs w:val="27"/>
        </w:rPr>
        <w:t>4</w:t>
      </w:r>
      <w:r w:rsidR="00924E0E" w:rsidRPr="00571DBF">
        <w:rPr>
          <w:sz w:val="27"/>
          <w:szCs w:val="27"/>
        </w:rPr>
        <w:t xml:space="preserve"> год</w:t>
      </w:r>
      <w:r>
        <w:rPr>
          <w:sz w:val="27"/>
          <w:szCs w:val="27"/>
        </w:rPr>
        <w:t>:</w:t>
      </w:r>
    </w:p>
    <w:p w:rsidR="00CD40C4" w:rsidRDefault="00CD40C4" w:rsidP="00C54A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общий</w:t>
      </w:r>
      <w:r w:rsidR="00C869FE">
        <w:rPr>
          <w:sz w:val="27"/>
          <w:szCs w:val="27"/>
        </w:rPr>
        <w:t xml:space="preserve"> объём доходов</w:t>
      </w:r>
      <w:r w:rsidR="00C869FE">
        <w:rPr>
          <w:sz w:val="27"/>
          <w:szCs w:val="27"/>
        </w:rPr>
        <w:tab/>
      </w:r>
      <w:r w:rsidR="00C869FE">
        <w:rPr>
          <w:sz w:val="27"/>
          <w:szCs w:val="27"/>
        </w:rPr>
        <w:tab/>
      </w:r>
      <w:r>
        <w:rPr>
          <w:sz w:val="27"/>
          <w:szCs w:val="27"/>
        </w:rPr>
        <w:t>– 3 842 905,8 тыс.рублей;</w:t>
      </w:r>
    </w:p>
    <w:p w:rsidR="00CD40C4" w:rsidRDefault="00C869FE" w:rsidP="00C54A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общий объём расходов</w:t>
      </w:r>
      <w:r>
        <w:rPr>
          <w:sz w:val="27"/>
          <w:szCs w:val="27"/>
        </w:rPr>
        <w:tab/>
      </w:r>
      <w:r w:rsidR="00CD40C4">
        <w:rPr>
          <w:sz w:val="27"/>
          <w:szCs w:val="27"/>
        </w:rPr>
        <w:tab/>
      </w:r>
      <w:r w:rsidR="00924E0E" w:rsidRPr="00571DBF">
        <w:rPr>
          <w:sz w:val="27"/>
          <w:szCs w:val="27"/>
        </w:rPr>
        <w:t>–</w:t>
      </w:r>
      <w:r w:rsidR="00CD40C4">
        <w:rPr>
          <w:sz w:val="27"/>
          <w:szCs w:val="27"/>
        </w:rPr>
        <w:t xml:space="preserve"> </w:t>
      </w:r>
      <w:r w:rsidR="00924E0E" w:rsidRPr="00571DBF">
        <w:rPr>
          <w:sz w:val="27"/>
          <w:szCs w:val="27"/>
        </w:rPr>
        <w:t>3</w:t>
      </w:r>
      <w:r w:rsidR="00CD40C4">
        <w:rPr>
          <w:sz w:val="27"/>
          <w:szCs w:val="27"/>
        </w:rPr>
        <w:t> 872 905,8 тыс.рублей;</w:t>
      </w:r>
    </w:p>
    <w:p w:rsidR="00924E0E" w:rsidRPr="00571DBF" w:rsidRDefault="00CD40C4" w:rsidP="00C54A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размер </w:t>
      </w:r>
      <w:r w:rsidR="00924E0E" w:rsidRPr="00571DBF">
        <w:rPr>
          <w:sz w:val="27"/>
          <w:szCs w:val="27"/>
        </w:rPr>
        <w:t>дефицит</w:t>
      </w:r>
      <w:r>
        <w:rPr>
          <w:sz w:val="27"/>
          <w:szCs w:val="27"/>
        </w:rPr>
        <w:t>а</w:t>
      </w:r>
      <w:r w:rsidR="00C869FE">
        <w:rPr>
          <w:sz w:val="27"/>
          <w:szCs w:val="27"/>
        </w:rPr>
        <w:tab/>
      </w:r>
      <w:r w:rsidR="00C869FE">
        <w:rPr>
          <w:sz w:val="27"/>
          <w:szCs w:val="27"/>
        </w:rPr>
        <w:tab/>
      </w:r>
      <w:r w:rsidR="00C869FE">
        <w:rPr>
          <w:sz w:val="27"/>
          <w:szCs w:val="27"/>
        </w:rPr>
        <w:tab/>
      </w:r>
      <w:r w:rsidR="00924E0E" w:rsidRPr="00571DBF">
        <w:rPr>
          <w:sz w:val="27"/>
          <w:szCs w:val="27"/>
        </w:rPr>
        <w:t xml:space="preserve">– </w:t>
      </w:r>
      <w:r>
        <w:rPr>
          <w:sz w:val="27"/>
          <w:szCs w:val="27"/>
        </w:rPr>
        <w:t>3</w:t>
      </w:r>
      <w:r w:rsidR="00C869FE">
        <w:rPr>
          <w:sz w:val="27"/>
          <w:szCs w:val="27"/>
        </w:rPr>
        <w:t>0 000,0 тыс.рублей (</w:t>
      </w:r>
      <w:r>
        <w:rPr>
          <w:sz w:val="27"/>
          <w:szCs w:val="27"/>
        </w:rPr>
        <w:t>1,71</w:t>
      </w:r>
      <w:r w:rsidR="00924E0E" w:rsidRPr="00571DBF">
        <w:rPr>
          <w:sz w:val="27"/>
          <w:szCs w:val="27"/>
        </w:rPr>
        <w:t>% общего годового объёма доходов без учёта утвержденного объёма безвозмездных поступлений (в рамках ограничений, установленных статьёй 92.1 БК РФ).</w:t>
      </w:r>
    </w:p>
    <w:p w:rsidR="00D7135D" w:rsidRDefault="00924E0E" w:rsidP="00C54A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1DBF">
        <w:rPr>
          <w:sz w:val="27"/>
          <w:szCs w:val="27"/>
        </w:rPr>
        <w:t xml:space="preserve">В ходе исполнения бюджета города в связи с необходимостью уточнения прогнозных показателей поступлений налоговых и неналоговых доходов, </w:t>
      </w:r>
      <w:r w:rsidR="00C869FE">
        <w:rPr>
          <w:sz w:val="27"/>
          <w:szCs w:val="27"/>
        </w:rPr>
        <w:t>отражения в местном бюджете средств, переданных в течение года из бюджетов других уровней,</w:t>
      </w:r>
      <w:r w:rsidRPr="00571DBF">
        <w:rPr>
          <w:sz w:val="27"/>
          <w:szCs w:val="27"/>
        </w:rPr>
        <w:t xml:space="preserve"> и соответствующего уточнения расходов бюджета</w:t>
      </w:r>
      <w:r>
        <w:rPr>
          <w:sz w:val="27"/>
          <w:szCs w:val="27"/>
        </w:rPr>
        <w:t xml:space="preserve"> города</w:t>
      </w:r>
      <w:r w:rsidR="00C869FE">
        <w:rPr>
          <w:sz w:val="27"/>
          <w:szCs w:val="27"/>
        </w:rPr>
        <w:t xml:space="preserve">, а также распределения остатков на едином счёте бюджета по состоянию на 01.01.2014г. </w:t>
      </w:r>
      <w:r w:rsidRPr="00571DBF">
        <w:rPr>
          <w:sz w:val="27"/>
          <w:szCs w:val="27"/>
        </w:rPr>
        <w:t>в первоначальное решение 6</w:t>
      </w:r>
      <w:r w:rsidR="00D7135D">
        <w:rPr>
          <w:sz w:val="27"/>
          <w:szCs w:val="27"/>
        </w:rPr>
        <w:t xml:space="preserve"> раз вносились изменения, в результате которых</w:t>
      </w:r>
      <w:r>
        <w:rPr>
          <w:sz w:val="27"/>
          <w:szCs w:val="27"/>
        </w:rPr>
        <w:t>:</w:t>
      </w:r>
    </w:p>
    <w:p w:rsidR="00D7135D" w:rsidRDefault="00D7135D" w:rsidP="00C54A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объём доходов увеличился на 378 811,3</w:t>
      </w:r>
      <w:r w:rsidRPr="00571DBF">
        <w:rPr>
          <w:sz w:val="27"/>
          <w:szCs w:val="27"/>
        </w:rPr>
        <w:t xml:space="preserve"> тыс.рублей </w:t>
      </w:r>
      <w:r>
        <w:rPr>
          <w:sz w:val="27"/>
          <w:szCs w:val="27"/>
        </w:rPr>
        <w:t>(</w:t>
      </w:r>
      <w:r w:rsidR="00924E0E" w:rsidRPr="00571DBF">
        <w:rPr>
          <w:sz w:val="27"/>
          <w:szCs w:val="27"/>
        </w:rPr>
        <w:t xml:space="preserve">на </w:t>
      </w:r>
      <w:r w:rsidR="00C869FE">
        <w:rPr>
          <w:sz w:val="27"/>
          <w:szCs w:val="27"/>
        </w:rPr>
        <w:t>9,85</w:t>
      </w:r>
      <w:r>
        <w:rPr>
          <w:sz w:val="27"/>
          <w:szCs w:val="27"/>
        </w:rPr>
        <w:t>%</w:t>
      </w:r>
      <w:r w:rsidR="00924E0E" w:rsidRPr="00571DBF">
        <w:rPr>
          <w:sz w:val="27"/>
          <w:szCs w:val="27"/>
        </w:rPr>
        <w:t>)</w:t>
      </w:r>
      <w:r>
        <w:rPr>
          <w:sz w:val="27"/>
          <w:szCs w:val="27"/>
        </w:rPr>
        <w:t xml:space="preserve"> и составил 4 221 717,1 тыс.рублей;</w:t>
      </w:r>
    </w:p>
    <w:p w:rsidR="00D7135D" w:rsidRDefault="00D7135D" w:rsidP="00C54A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объём расходов увеличился на 651 247,6</w:t>
      </w:r>
      <w:r w:rsidRPr="00571DBF">
        <w:rPr>
          <w:sz w:val="27"/>
          <w:szCs w:val="27"/>
        </w:rPr>
        <w:t xml:space="preserve"> тыс.рублей</w:t>
      </w:r>
      <w:r>
        <w:rPr>
          <w:sz w:val="27"/>
          <w:szCs w:val="27"/>
        </w:rPr>
        <w:t xml:space="preserve"> (</w:t>
      </w:r>
      <w:r w:rsidR="00924E0E" w:rsidRPr="00571DBF">
        <w:rPr>
          <w:sz w:val="27"/>
          <w:szCs w:val="27"/>
        </w:rPr>
        <w:t xml:space="preserve">на </w:t>
      </w:r>
      <w:r w:rsidR="00C869FE">
        <w:rPr>
          <w:sz w:val="27"/>
          <w:szCs w:val="27"/>
        </w:rPr>
        <w:t>16,81</w:t>
      </w:r>
      <w:r>
        <w:rPr>
          <w:sz w:val="27"/>
          <w:szCs w:val="27"/>
        </w:rPr>
        <w:t>%) и составил 4 524 153,4 тыс.рублей;</w:t>
      </w:r>
    </w:p>
    <w:p w:rsidR="00924E0E" w:rsidRDefault="00924E0E" w:rsidP="00C54A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1DBF">
        <w:rPr>
          <w:sz w:val="27"/>
          <w:szCs w:val="27"/>
        </w:rPr>
        <w:t>дефицит</w:t>
      </w:r>
      <w:r w:rsidR="00D7135D">
        <w:rPr>
          <w:sz w:val="27"/>
          <w:szCs w:val="27"/>
        </w:rPr>
        <w:t xml:space="preserve"> бюджета утверждён в сумме 302 436,2 тыс.рублей</w:t>
      </w:r>
      <w:r w:rsidR="00B01F01">
        <w:rPr>
          <w:sz w:val="27"/>
          <w:szCs w:val="27"/>
        </w:rPr>
        <w:t>,</w:t>
      </w:r>
      <w:r w:rsidR="00D7135D">
        <w:rPr>
          <w:sz w:val="27"/>
          <w:szCs w:val="27"/>
        </w:rPr>
        <w:t xml:space="preserve"> </w:t>
      </w:r>
      <w:r w:rsidR="00B01F01">
        <w:rPr>
          <w:sz w:val="27"/>
          <w:szCs w:val="27"/>
        </w:rPr>
        <w:t xml:space="preserve">то есть </w:t>
      </w:r>
      <w:r w:rsidR="00D62F8A">
        <w:rPr>
          <w:sz w:val="27"/>
          <w:szCs w:val="27"/>
        </w:rPr>
        <w:t>вырос</w:t>
      </w:r>
      <w:r w:rsidR="00B01F01">
        <w:rPr>
          <w:sz w:val="27"/>
          <w:szCs w:val="27"/>
        </w:rPr>
        <w:t xml:space="preserve"> к первоначально утверждённому показателю</w:t>
      </w:r>
      <w:r w:rsidR="00B01F01" w:rsidRPr="00571DBF">
        <w:rPr>
          <w:sz w:val="27"/>
          <w:szCs w:val="27"/>
        </w:rPr>
        <w:t xml:space="preserve"> </w:t>
      </w:r>
      <w:r w:rsidR="00D7135D">
        <w:rPr>
          <w:sz w:val="27"/>
          <w:szCs w:val="27"/>
        </w:rPr>
        <w:t xml:space="preserve">на 272 436,3 </w:t>
      </w:r>
      <w:r w:rsidR="00D7135D" w:rsidRPr="00571DBF">
        <w:rPr>
          <w:sz w:val="27"/>
          <w:szCs w:val="27"/>
        </w:rPr>
        <w:t>тыс.рублей</w:t>
      </w:r>
      <w:r w:rsidR="00D7135D">
        <w:rPr>
          <w:sz w:val="27"/>
          <w:szCs w:val="27"/>
        </w:rPr>
        <w:t xml:space="preserve"> (в 10,1 раз</w:t>
      </w:r>
      <w:r w:rsidR="00B01F01">
        <w:rPr>
          <w:sz w:val="27"/>
          <w:szCs w:val="27"/>
        </w:rPr>
        <w:t>а</w:t>
      </w:r>
      <w:r w:rsidR="00D7135D">
        <w:rPr>
          <w:sz w:val="27"/>
          <w:szCs w:val="27"/>
        </w:rPr>
        <w:t>)</w:t>
      </w:r>
      <w:r w:rsidR="00B01F01">
        <w:rPr>
          <w:sz w:val="27"/>
          <w:szCs w:val="27"/>
        </w:rPr>
        <w:t>.</w:t>
      </w:r>
    </w:p>
    <w:p w:rsidR="00924E0E" w:rsidRPr="00571DBF" w:rsidRDefault="00924E0E" w:rsidP="00C54A0B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571DBF">
        <w:rPr>
          <w:sz w:val="27"/>
          <w:szCs w:val="27"/>
        </w:rPr>
        <w:t xml:space="preserve">Кроме того, </w:t>
      </w:r>
      <w:r w:rsidR="00B01F01">
        <w:rPr>
          <w:sz w:val="27"/>
          <w:szCs w:val="27"/>
        </w:rPr>
        <w:t xml:space="preserve">Финансовым управлением </w:t>
      </w:r>
      <w:r w:rsidRPr="00571DBF">
        <w:rPr>
          <w:sz w:val="27"/>
          <w:szCs w:val="27"/>
        </w:rPr>
        <w:t>доходн</w:t>
      </w:r>
      <w:r w:rsidR="00751CA1">
        <w:rPr>
          <w:sz w:val="27"/>
          <w:szCs w:val="27"/>
        </w:rPr>
        <w:t>ая</w:t>
      </w:r>
      <w:r w:rsidRPr="00571DBF">
        <w:rPr>
          <w:sz w:val="27"/>
          <w:szCs w:val="27"/>
        </w:rPr>
        <w:t xml:space="preserve"> и расходн</w:t>
      </w:r>
      <w:r w:rsidR="00751CA1">
        <w:rPr>
          <w:sz w:val="27"/>
          <w:szCs w:val="27"/>
        </w:rPr>
        <w:t>ая</w:t>
      </w:r>
      <w:r w:rsidRPr="00571DBF">
        <w:rPr>
          <w:sz w:val="27"/>
          <w:szCs w:val="27"/>
        </w:rPr>
        <w:t xml:space="preserve"> части местного бюджета </w:t>
      </w:r>
      <w:r w:rsidR="00751CA1">
        <w:rPr>
          <w:sz w:val="27"/>
          <w:szCs w:val="27"/>
        </w:rPr>
        <w:t xml:space="preserve">увеличены </w:t>
      </w:r>
      <w:r w:rsidR="00751CA1" w:rsidRPr="00571DBF">
        <w:rPr>
          <w:sz w:val="27"/>
          <w:szCs w:val="27"/>
        </w:rPr>
        <w:t xml:space="preserve">на </w:t>
      </w:r>
      <w:r w:rsidR="00751CA1" w:rsidRPr="00751CA1">
        <w:rPr>
          <w:sz w:val="27"/>
          <w:szCs w:val="27"/>
        </w:rPr>
        <w:t>37 810,2</w:t>
      </w:r>
      <w:r w:rsidR="00751CA1" w:rsidRPr="00571DBF">
        <w:rPr>
          <w:sz w:val="27"/>
          <w:szCs w:val="27"/>
        </w:rPr>
        <w:t xml:space="preserve"> тыс.рублей </w:t>
      </w:r>
      <w:r w:rsidR="00751CA1">
        <w:rPr>
          <w:sz w:val="27"/>
          <w:szCs w:val="27"/>
        </w:rPr>
        <w:t xml:space="preserve">в соответствии со статьями 217, 232 БК РФ, то есть </w:t>
      </w:r>
      <w:r w:rsidRPr="00571DBF">
        <w:rPr>
          <w:sz w:val="27"/>
          <w:szCs w:val="27"/>
        </w:rPr>
        <w:t xml:space="preserve">без внесения изменений в решение о бюджете </w:t>
      </w:r>
      <w:r w:rsidR="00751CA1">
        <w:rPr>
          <w:sz w:val="27"/>
          <w:szCs w:val="27"/>
        </w:rPr>
        <w:t xml:space="preserve">города </w:t>
      </w:r>
      <w:r w:rsidRPr="00571DBF">
        <w:rPr>
          <w:sz w:val="27"/>
          <w:szCs w:val="27"/>
        </w:rPr>
        <w:t>на 201</w:t>
      </w:r>
      <w:r w:rsidR="00B43AEC">
        <w:rPr>
          <w:sz w:val="27"/>
          <w:szCs w:val="27"/>
        </w:rPr>
        <w:t>4</w:t>
      </w:r>
      <w:r w:rsidRPr="00571DBF">
        <w:rPr>
          <w:sz w:val="27"/>
          <w:szCs w:val="27"/>
        </w:rPr>
        <w:t xml:space="preserve"> год</w:t>
      </w:r>
      <w:r w:rsidR="00991F2E">
        <w:rPr>
          <w:sz w:val="27"/>
          <w:szCs w:val="27"/>
        </w:rPr>
        <w:t>,</w:t>
      </w:r>
      <w:r w:rsidRPr="00571DBF">
        <w:rPr>
          <w:sz w:val="27"/>
          <w:szCs w:val="27"/>
        </w:rPr>
        <w:t xml:space="preserve"> </w:t>
      </w:r>
      <w:r w:rsidR="00751CA1">
        <w:rPr>
          <w:sz w:val="27"/>
          <w:szCs w:val="27"/>
        </w:rPr>
        <w:t xml:space="preserve">в связи с дополнительно полученными </w:t>
      </w:r>
      <w:r w:rsidR="00991F2E" w:rsidRPr="00571DBF">
        <w:rPr>
          <w:sz w:val="27"/>
          <w:szCs w:val="27"/>
        </w:rPr>
        <w:t>в декабре 201</w:t>
      </w:r>
      <w:r w:rsidR="00991F2E">
        <w:rPr>
          <w:sz w:val="27"/>
          <w:szCs w:val="27"/>
        </w:rPr>
        <w:t>4</w:t>
      </w:r>
      <w:r w:rsidR="00991F2E" w:rsidRPr="00571DBF">
        <w:rPr>
          <w:sz w:val="27"/>
          <w:szCs w:val="27"/>
        </w:rPr>
        <w:t xml:space="preserve"> года </w:t>
      </w:r>
      <w:r w:rsidR="00991F2E">
        <w:rPr>
          <w:sz w:val="27"/>
          <w:szCs w:val="27"/>
        </w:rPr>
        <w:t>безвозмездными поступлениями</w:t>
      </w:r>
      <w:r w:rsidR="00991F2E" w:rsidRPr="00571DBF">
        <w:rPr>
          <w:sz w:val="27"/>
          <w:szCs w:val="27"/>
        </w:rPr>
        <w:t xml:space="preserve"> </w:t>
      </w:r>
      <w:r w:rsidR="00751CA1">
        <w:rPr>
          <w:sz w:val="27"/>
          <w:szCs w:val="27"/>
        </w:rPr>
        <w:t xml:space="preserve">из бюджетов иных уровней </w:t>
      </w:r>
      <w:r w:rsidR="00991F2E">
        <w:rPr>
          <w:sz w:val="27"/>
          <w:szCs w:val="27"/>
        </w:rPr>
        <w:t xml:space="preserve">и перераспределением бюджетных ассигнований. </w:t>
      </w:r>
    </w:p>
    <w:p w:rsidR="00924E0E" w:rsidRPr="00571DBF" w:rsidRDefault="00924E0E" w:rsidP="00C54A0B">
      <w:pPr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По итогам</w:t>
      </w:r>
      <w:r w:rsidRPr="00571DBF">
        <w:rPr>
          <w:sz w:val="27"/>
          <w:szCs w:val="27"/>
        </w:rPr>
        <w:t xml:space="preserve"> всех внесённых изменений уточнённый план по доходам составил </w:t>
      </w:r>
      <w:r w:rsidR="002C674A">
        <w:rPr>
          <w:sz w:val="27"/>
          <w:szCs w:val="27"/>
        </w:rPr>
        <w:t>4 259 527,3</w:t>
      </w:r>
      <w:r w:rsidRPr="00571DBF">
        <w:rPr>
          <w:sz w:val="27"/>
          <w:szCs w:val="27"/>
        </w:rPr>
        <w:t xml:space="preserve"> тыс.рублей, по расходам – </w:t>
      </w:r>
      <w:r w:rsidR="002C674A">
        <w:rPr>
          <w:sz w:val="27"/>
          <w:szCs w:val="27"/>
        </w:rPr>
        <w:t>4 561 963,5</w:t>
      </w:r>
      <w:r w:rsidRPr="00571DBF">
        <w:rPr>
          <w:sz w:val="27"/>
          <w:szCs w:val="27"/>
        </w:rPr>
        <w:t xml:space="preserve"> тыс.рублей, </w:t>
      </w:r>
      <w:r>
        <w:rPr>
          <w:sz w:val="27"/>
          <w:szCs w:val="27"/>
        </w:rPr>
        <w:t xml:space="preserve">размер прогнозируемого </w:t>
      </w:r>
      <w:r w:rsidRPr="00571DBF">
        <w:rPr>
          <w:sz w:val="27"/>
          <w:szCs w:val="27"/>
        </w:rPr>
        <w:t>дефицит</w:t>
      </w:r>
      <w:r>
        <w:rPr>
          <w:sz w:val="27"/>
          <w:szCs w:val="27"/>
        </w:rPr>
        <w:t>а</w:t>
      </w:r>
      <w:r w:rsidRPr="00571DBF">
        <w:rPr>
          <w:sz w:val="27"/>
          <w:szCs w:val="27"/>
        </w:rPr>
        <w:t xml:space="preserve"> бюджета – </w:t>
      </w:r>
      <w:r w:rsidR="002C674A">
        <w:rPr>
          <w:sz w:val="27"/>
          <w:szCs w:val="27"/>
        </w:rPr>
        <w:t>302 436,2</w:t>
      </w:r>
      <w:r w:rsidRPr="00571DBF">
        <w:rPr>
          <w:sz w:val="27"/>
          <w:szCs w:val="27"/>
        </w:rPr>
        <w:t xml:space="preserve"> тыс.рублей.</w:t>
      </w:r>
    </w:p>
    <w:p w:rsidR="002C674A" w:rsidRDefault="002C674A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Бюджет города в 2014 году исполнен с профицитом в сумме 359 701,8 тыс.рублей: доходы поступили в объёме 4 207 758,3</w:t>
      </w:r>
      <w:r w:rsidRPr="002C674A">
        <w:rPr>
          <w:sz w:val="27"/>
          <w:szCs w:val="27"/>
        </w:rPr>
        <w:t xml:space="preserve"> </w:t>
      </w:r>
      <w:r>
        <w:rPr>
          <w:sz w:val="27"/>
          <w:szCs w:val="27"/>
        </w:rPr>
        <w:t>тыс.рублей, расходы сложились в сумме 3 848 056,5 тыс.рублей.</w:t>
      </w:r>
    </w:p>
    <w:p w:rsidR="00435126" w:rsidRDefault="00435126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уточнённый план по доходам не выполнен на 1,</w:t>
      </w:r>
      <w:r w:rsidR="002D26B8">
        <w:rPr>
          <w:sz w:val="27"/>
          <w:szCs w:val="27"/>
        </w:rPr>
        <w:t>22</w:t>
      </w:r>
      <w:r>
        <w:rPr>
          <w:sz w:val="27"/>
          <w:szCs w:val="27"/>
        </w:rPr>
        <w:t>% , по расходам – на 15,65%. Неисполненные расходы по состоянию на 01.01.2015г. составили 713 907,0 тыс.рублей.</w:t>
      </w:r>
    </w:p>
    <w:p w:rsidR="00DD0CD4" w:rsidRDefault="007752DE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данных отчётов</w:t>
      </w:r>
      <w:r w:rsidRPr="00DD0CD4">
        <w:rPr>
          <w:rFonts w:eastAsiaTheme="minorHAnsi"/>
          <w:bCs/>
          <w:sz w:val="27"/>
          <w:szCs w:val="27"/>
          <w:lang w:eastAsia="en-US"/>
        </w:rPr>
        <w:t xml:space="preserve"> об исполнении местного бюджета</w:t>
      </w:r>
      <w:r>
        <w:rPr>
          <w:rFonts w:eastAsiaTheme="minorHAnsi"/>
          <w:bCs/>
          <w:sz w:val="27"/>
          <w:szCs w:val="27"/>
          <w:lang w:eastAsia="en-US"/>
        </w:rPr>
        <w:t xml:space="preserve"> за первый квартал,</w:t>
      </w:r>
      <w:r w:rsidR="00C73483">
        <w:rPr>
          <w:rFonts w:eastAsiaTheme="minorHAnsi"/>
          <w:bCs/>
          <w:sz w:val="27"/>
          <w:szCs w:val="27"/>
          <w:lang w:eastAsia="en-US"/>
        </w:rPr>
        <w:t xml:space="preserve"> первое</w:t>
      </w:r>
      <w:r>
        <w:rPr>
          <w:rFonts w:eastAsiaTheme="minorHAnsi"/>
          <w:bCs/>
          <w:sz w:val="27"/>
          <w:szCs w:val="27"/>
          <w:lang w:eastAsia="en-US"/>
        </w:rPr>
        <w:t xml:space="preserve"> полугодие, </w:t>
      </w:r>
      <w:r w:rsidRPr="00DD0CD4">
        <w:rPr>
          <w:rFonts w:eastAsiaTheme="minorHAnsi"/>
          <w:bCs/>
          <w:sz w:val="27"/>
          <w:szCs w:val="27"/>
          <w:lang w:eastAsia="en-US"/>
        </w:rPr>
        <w:t xml:space="preserve">девять месяцев </w:t>
      </w:r>
      <w:r>
        <w:rPr>
          <w:rFonts w:eastAsiaTheme="minorHAnsi"/>
          <w:bCs/>
          <w:sz w:val="27"/>
          <w:szCs w:val="27"/>
          <w:lang w:eastAsia="en-US"/>
        </w:rPr>
        <w:t>2014 года, направленных Финансовым управлением в Контрольно-счётную палату, а также Отчёта произведён анализ</w:t>
      </w:r>
      <w:r w:rsidR="00DD0C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ритмичности исполнения бюджета города в течение года, результаты которого представлены в таблице: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268"/>
        <w:gridCol w:w="1269"/>
        <w:gridCol w:w="1268"/>
        <w:gridCol w:w="1269"/>
        <w:gridCol w:w="1269"/>
      </w:tblGrid>
      <w:tr w:rsidR="00C73483" w:rsidRPr="007752DE" w:rsidTr="00C73483">
        <w:tc>
          <w:tcPr>
            <w:tcW w:w="3119" w:type="dxa"/>
            <w:vMerge w:val="restart"/>
            <w:vAlign w:val="center"/>
          </w:tcPr>
          <w:p w:rsidR="00C73483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C73483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6343" w:type="dxa"/>
            <w:gridSpan w:val="5"/>
          </w:tcPr>
          <w:p w:rsidR="00C73483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Поквартальное исполнение местного бюджета </w:t>
            </w:r>
          </w:p>
        </w:tc>
      </w:tr>
      <w:tr w:rsidR="00C73483" w:rsidRPr="007752DE" w:rsidTr="00C73483">
        <w:tc>
          <w:tcPr>
            <w:tcW w:w="3119" w:type="dxa"/>
            <w:vMerge/>
          </w:tcPr>
          <w:p w:rsidR="00C73483" w:rsidRPr="007752DE" w:rsidRDefault="00C73483" w:rsidP="007752D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:rsidR="00C73483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1269" w:type="dxa"/>
          </w:tcPr>
          <w:p w:rsidR="00C73483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268" w:type="dxa"/>
          </w:tcPr>
          <w:p w:rsidR="00C73483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1269" w:type="dxa"/>
          </w:tcPr>
          <w:p w:rsidR="00C73483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1269" w:type="dxa"/>
          </w:tcPr>
          <w:p w:rsidR="00C73483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</w:tr>
      <w:tr w:rsidR="007752DE" w:rsidRPr="00C73483" w:rsidTr="00C73483">
        <w:tc>
          <w:tcPr>
            <w:tcW w:w="3119" w:type="dxa"/>
          </w:tcPr>
          <w:p w:rsidR="007752DE" w:rsidRDefault="007752DE" w:rsidP="007752D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73483">
              <w:rPr>
                <w:b/>
                <w:sz w:val="22"/>
                <w:szCs w:val="22"/>
              </w:rPr>
              <w:t>Поступление доходов, всего</w:t>
            </w:r>
          </w:p>
          <w:p w:rsidR="00C73483" w:rsidRPr="00C73483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73483">
              <w:rPr>
                <w:sz w:val="22"/>
                <w:szCs w:val="22"/>
              </w:rPr>
              <w:t xml:space="preserve"> том числе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68" w:type="dxa"/>
            <w:vAlign w:val="bottom"/>
          </w:tcPr>
          <w:p w:rsidR="007752DE" w:rsidRPr="00C73483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73483">
              <w:rPr>
                <w:b/>
                <w:sz w:val="22"/>
                <w:szCs w:val="22"/>
              </w:rPr>
              <w:t>21,5%</w:t>
            </w:r>
          </w:p>
        </w:tc>
        <w:tc>
          <w:tcPr>
            <w:tcW w:w="1269" w:type="dxa"/>
            <w:vAlign w:val="bottom"/>
          </w:tcPr>
          <w:p w:rsidR="007752DE" w:rsidRPr="00C73483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73483">
              <w:rPr>
                <w:b/>
                <w:sz w:val="22"/>
                <w:szCs w:val="22"/>
              </w:rPr>
              <w:t>24,5%</w:t>
            </w:r>
          </w:p>
        </w:tc>
        <w:tc>
          <w:tcPr>
            <w:tcW w:w="1268" w:type="dxa"/>
            <w:vAlign w:val="bottom"/>
          </w:tcPr>
          <w:p w:rsidR="007752DE" w:rsidRPr="00C73483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73483">
              <w:rPr>
                <w:b/>
                <w:sz w:val="22"/>
                <w:szCs w:val="22"/>
              </w:rPr>
              <w:t>21,9%</w:t>
            </w:r>
          </w:p>
        </w:tc>
        <w:tc>
          <w:tcPr>
            <w:tcW w:w="1269" w:type="dxa"/>
            <w:vAlign w:val="bottom"/>
          </w:tcPr>
          <w:p w:rsidR="007752DE" w:rsidRPr="00C73483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73483">
              <w:rPr>
                <w:b/>
                <w:sz w:val="22"/>
                <w:szCs w:val="22"/>
              </w:rPr>
              <w:t>32,1%</w:t>
            </w:r>
          </w:p>
        </w:tc>
        <w:tc>
          <w:tcPr>
            <w:tcW w:w="1269" w:type="dxa"/>
            <w:vAlign w:val="bottom"/>
          </w:tcPr>
          <w:p w:rsidR="007752DE" w:rsidRPr="00C73483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73483">
              <w:rPr>
                <w:b/>
                <w:sz w:val="22"/>
                <w:szCs w:val="22"/>
              </w:rPr>
              <w:t>100,0%</w:t>
            </w:r>
          </w:p>
        </w:tc>
      </w:tr>
      <w:tr w:rsidR="007752DE" w:rsidRPr="007752DE" w:rsidTr="00C73483">
        <w:tc>
          <w:tcPr>
            <w:tcW w:w="3119" w:type="dxa"/>
          </w:tcPr>
          <w:p w:rsidR="007752DE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ind w:lef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752DE">
              <w:rPr>
                <w:sz w:val="22"/>
                <w:szCs w:val="22"/>
              </w:rPr>
              <w:t>обственные доходы</w:t>
            </w:r>
          </w:p>
        </w:tc>
        <w:tc>
          <w:tcPr>
            <w:tcW w:w="1268" w:type="dxa"/>
            <w:vAlign w:val="bottom"/>
          </w:tcPr>
          <w:p w:rsidR="007752DE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  <w:r w:rsidR="007752DE">
              <w:rPr>
                <w:sz w:val="22"/>
                <w:szCs w:val="22"/>
              </w:rPr>
              <w:t>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24,0%</w:t>
            </w:r>
          </w:p>
        </w:tc>
        <w:tc>
          <w:tcPr>
            <w:tcW w:w="1268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</w:tr>
      <w:tr w:rsidR="007752DE" w:rsidRPr="007752DE" w:rsidTr="00C73483">
        <w:tc>
          <w:tcPr>
            <w:tcW w:w="3119" w:type="dxa"/>
          </w:tcPr>
          <w:p w:rsidR="007752DE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ind w:lef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752DE">
              <w:rPr>
                <w:sz w:val="22"/>
                <w:szCs w:val="22"/>
              </w:rPr>
              <w:t>алоговые поступления</w:t>
            </w:r>
          </w:p>
        </w:tc>
        <w:tc>
          <w:tcPr>
            <w:tcW w:w="1268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23,6%</w:t>
            </w:r>
          </w:p>
        </w:tc>
        <w:tc>
          <w:tcPr>
            <w:tcW w:w="1268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</w:tr>
      <w:tr w:rsidR="007752DE" w:rsidRPr="007752DE" w:rsidTr="00C73483">
        <w:tc>
          <w:tcPr>
            <w:tcW w:w="3119" w:type="dxa"/>
          </w:tcPr>
          <w:p w:rsidR="007752DE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ind w:lef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752DE">
              <w:rPr>
                <w:sz w:val="22"/>
                <w:szCs w:val="22"/>
              </w:rPr>
              <w:t>еналоговые поступления</w:t>
            </w:r>
          </w:p>
        </w:tc>
        <w:tc>
          <w:tcPr>
            <w:tcW w:w="1268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25,3%</w:t>
            </w:r>
          </w:p>
        </w:tc>
        <w:tc>
          <w:tcPr>
            <w:tcW w:w="1268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</w:tr>
      <w:tr w:rsidR="007752DE" w:rsidRPr="007752DE" w:rsidTr="00C73483">
        <w:tc>
          <w:tcPr>
            <w:tcW w:w="3119" w:type="dxa"/>
          </w:tcPr>
          <w:p w:rsidR="007752DE" w:rsidRPr="007752DE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ind w:lef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752DE">
              <w:rPr>
                <w:sz w:val="22"/>
                <w:szCs w:val="22"/>
              </w:rPr>
              <w:t>езвозмездные поступления</w:t>
            </w:r>
          </w:p>
        </w:tc>
        <w:tc>
          <w:tcPr>
            <w:tcW w:w="1268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24,9%</w:t>
            </w:r>
          </w:p>
        </w:tc>
        <w:tc>
          <w:tcPr>
            <w:tcW w:w="1268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35,7%</w:t>
            </w:r>
          </w:p>
        </w:tc>
        <w:tc>
          <w:tcPr>
            <w:tcW w:w="1269" w:type="dxa"/>
            <w:vAlign w:val="bottom"/>
          </w:tcPr>
          <w:p w:rsidR="007752DE" w:rsidRPr="007752DE" w:rsidRDefault="007752DE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100,0%</w:t>
            </w:r>
          </w:p>
        </w:tc>
      </w:tr>
      <w:tr w:rsidR="007752DE" w:rsidRPr="00C73483" w:rsidTr="00C73483">
        <w:tc>
          <w:tcPr>
            <w:tcW w:w="3119" w:type="dxa"/>
          </w:tcPr>
          <w:p w:rsidR="007752DE" w:rsidRPr="00C73483" w:rsidRDefault="00C73483" w:rsidP="007752D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73483">
              <w:rPr>
                <w:b/>
                <w:sz w:val="22"/>
                <w:szCs w:val="22"/>
              </w:rPr>
              <w:t>Исполнение бюджета по расходам, всего</w:t>
            </w:r>
          </w:p>
        </w:tc>
        <w:tc>
          <w:tcPr>
            <w:tcW w:w="1268" w:type="dxa"/>
            <w:vAlign w:val="bottom"/>
          </w:tcPr>
          <w:p w:rsidR="007752DE" w:rsidRPr="00C73483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19,8%</w:t>
            </w:r>
          </w:p>
        </w:tc>
        <w:tc>
          <w:tcPr>
            <w:tcW w:w="1269" w:type="dxa"/>
            <w:vAlign w:val="bottom"/>
          </w:tcPr>
          <w:p w:rsidR="007752DE" w:rsidRPr="00C73483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24,6%</w:t>
            </w:r>
          </w:p>
        </w:tc>
        <w:tc>
          <w:tcPr>
            <w:tcW w:w="1268" w:type="dxa"/>
            <w:vAlign w:val="bottom"/>
          </w:tcPr>
          <w:p w:rsidR="007752DE" w:rsidRPr="00C73483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21,4%</w:t>
            </w:r>
          </w:p>
        </w:tc>
        <w:tc>
          <w:tcPr>
            <w:tcW w:w="1269" w:type="dxa"/>
            <w:vAlign w:val="bottom"/>
          </w:tcPr>
          <w:p w:rsidR="007752DE" w:rsidRPr="00C73483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34,2%</w:t>
            </w:r>
          </w:p>
        </w:tc>
        <w:tc>
          <w:tcPr>
            <w:tcW w:w="1269" w:type="dxa"/>
            <w:vAlign w:val="bottom"/>
          </w:tcPr>
          <w:p w:rsidR="007752DE" w:rsidRPr="00C73483" w:rsidRDefault="00C73483" w:rsidP="00C7348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100,0%</w:t>
            </w:r>
          </w:p>
        </w:tc>
      </w:tr>
    </w:tbl>
    <w:p w:rsidR="00467A70" w:rsidRDefault="00927809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По итогам исполнения бюджета города объём остатков средств на едином счёте бюджета</w:t>
      </w:r>
      <w:r w:rsidRPr="00927809">
        <w:rPr>
          <w:sz w:val="27"/>
          <w:szCs w:val="27"/>
        </w:rPr>
        <w:t xml:space="preserve"> </w:t>
      </w:r>
      <w:r>
        <w:rPr>
          <w:sz w:val="27"/>
          <w:szCs w:val="27"/>
        </w:rPr>
        <w:t>по состоянию на 01.01.2015г. составил 671 385,7 тыс.рублей, из них: средства местного бюджета – 668 133,8 тыс.рублей, средства областного бюджета – 3 251,9 тыс. рублей. При этом остатк</w:t>
      </w:r>
      <w:r w:rsidR="00DC51A8">
        <w:rPr>
          <w:sz w:val="27"/>
          <w:szCs w:val="27"/>
        </w:rPr>
        <w:t xml:space="preserve">и </w:t>
      </w:r>
      <w:r>
        <w:rPr>
          <w:sz w:val="27"/>
          <w:szCs w:val="27"/>
        </w:rPr>
        <w:t>собственных средств бюджета</w:t>
      </w:r>
      <w:r w:rsidR="00DC51A8">
        <w:rPr>
          <w:sz w:val="27"/>
          <w:szCs w:val="27"/>
        </w:rPr>
        <w:t xml:space="preserve"> города относительно начала года увеличились в 2,1 раза (с 316 370,8 </w:t>
      </w:r>
      <w:r w:rsidR="002D26B8">
        <w:rPr>
          <w:sz w:val="27"/>
          <w:szCs w:val="27"/>
        </w:rPr>
        <w:t>т</w:t>
      </w:r>
      <w:r w:rsidR="00DC51A8">
        <w:rPr>
          <w:sz w:val="27"/>
          <w:szCs w:val="27"/>
        </w:rPr>
        <w:t>ыс.рублей), средств межбюджетных трансфертов – сократились в 4,7 раза (с 15 313,1 тыс.рублей).</w:t>
      </w:r>
    </w:p>
    <w:p w:rsidR="00924E0E" w:rsidRDefault="00924E0E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571DBF">
        <w:rPr>
          <w:sz w:val="27"/>
          <w:szCs w:val="27"/>
        </w:rPr>
        <w:t>Динамика исполнения местного бюджета за 201</w:t>
      </w:r>
      <w:r w:rsidR="002C674A">
        <w:rPr>
          <w:sz w:val="27"/>
          <w:szCs w:val="27"/>
        </w:rPr>
        <w:t>2</w:t>
      </w:r>
      <w:r w:rsidRPr="00571DBF">
        <w:rPr>
          <w:sz w:val="27"/>
          <w:szCs w:val="27"/>
        </w:rPr>
        <w:t>-201</w:t>
      </w:r>
      <w:r w:rsidR="002C674A">
        <w:rPr>
          <w:sz w:val="27"/>
          <w:szCs w:val="27"/>
        </w:rPr>
        <w:t>4</w:t>
      </w:r>
      <w:r w:rsidRPr="00571DBF">
        <w:rPr>
          <w:sz w:val="27"/>
          <w:szCs w:val="27"/>
        </w:rPr>
        <w:t xml:space="preserve"> годы приведена в приложении к </w:t>
      </w:r>
      <w:r w:rsidR="002C674A">
        <w:rPr>
          <w:sz w:val="27"/>
          <w:szCs w:val="27"/>
        </w:rPr>
        <w:t xml:space="preserve">настоящему </w:t>
      </w:r>
      <w:r w:rsidRPr="00571DBF">
        <w:rPr>
          <w:sz w:val="27"/>
          <w:szCs w:val="27"/>
        </w:rPr>
        <w:t>Заключению.</w:t>
      </w:r>
    </w:p>
    <w:p w:rsidR="00924E0E" w:rsidRPr="00571DBF" w:rsidRDefault="00C73483" w:rsidP="00C54A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940F00">
        <w:rPr>
          <w:b/>
          <w:sz w:val="27"/>
          <w:szCs w:val="27"/>
        </w:rPr>
        <w:t xml:space="preserve">. </w:t>
      </w:r>
      <w:r w:rsidR="00924E0E" w:rsidRPr="00571DBF">
        <w:rPr>
          <w:b/>
          <w:sz w:val="27"/>
          <w:szCs w:val="27"/>
        </w:rPr>
        <w:t>И</w:t>
      </w:r>
      <w:r w:rsidR="00924E0E" w:rsidRPr="00571DBF">
        <w:rPr>
          <w:b/>
          <w:bCs/>
          <w:iCs/>
          <w:sz w:val="27"/>
          <w:szCs w:val="27"/>
        </w:rPr>
        <w:t>сполнение доходной части местного бюджета</w:t>
      </w:r>
    </w:p>
    <w:p w:rsidR="00FD6AF2" w:rsidRDefault="00FD6AF2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Первоначальным решением о бюджете города доходы были утверждены в сумме 3 842 905,8 тыс.рублей. </w:t>
      </w:r>
    </w:p>
    <w:p w:rsidR="00FD6AF2" w:rsidRDefault="00FD6AF2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После внесения изменений</w:t>
      </w:r>
      <w:r w:rsidRPr="00FD6AF2">
        <w:rPr>
          <w:sz w:val="27"/>
          <w:szCs w:val="27"/>
        </w:rPr>
        <w:t xml:space="preserve"> </w:t>
      </w:r>
      <w:r w:rsidRPr="00571DBF">
        <w:rPr>
          <w:sz w:val="27"/>
          <w:szCs w:val="27"/>
        </w:rPr>
        <w:t xml:space="preserve">план по доходам </w:t>
      </w:r>
      <w:r>
        <w:rPr>
          <w:sz w:val="27"/>
          <w:szCs w:val="27"/>
        </w:rPr>
        <w:t>увеличен до 4 259 527,3 тыс.рублей или на 10,84%, в том числе по:</w:t>
      </w:r>
    </w:p>
    <w:p w:rsidR="00FD6AF2" w:rsidRDefault="00FD6AF2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налоговым доходам – до 1 406 154,7 тыс.рублей или на 1,46%;</w:t>
      </w:r>
    </w:p>
    <w:p w:rsidR="00FD6AF2" w:rsidRDefault="00FD6AF2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неналоговым доходам – до 371 122,4 тыс.рублей или на 2,91%</w:t>
      </w:r>
      <w:r w:rsidR="002D26B8">
        <w:rPr>
          <w:sz w:val="27"/>
          <w:szCs w:val="27"/>
        </w:rPr>
        <w:t>;</w:t>
      </w:r>
    </w:p>
    <w:p w:rsidR="00FD6AF2" w:rsidRDefault="00FD6AF2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безвозмездным поступлениям – до</w:t>
      </w:r>
      <w:r w:rsidR="002D26B8">
        <w:rPr>
          <w:sz w:val="27"/>
          <w:szCs w:val="27"/>
        </w:rPr>
        <w:t xml:space="preserve"> 2</w:t>
      </w:r>
      <w:r>
        <w:rPr>
          <w:sz w:val="27"/>
          <w:szCs w:val="27"/>
        </w:rPr>
        <w:t xml:space="preserve"> 248 250,2 тыс.рублей или на 18,4</w:t>
      </w:r>
      <w:r w:rsidR="002D26B8">
        <w:rPr>
          <w:sz w:val="27"/>
          <w:szCs w:val="27"/>
        </w:rPr>
        <w:t>0</w:t>
      </w:r>
      <w:r>
        <w:rPr>
          <w:sz w:val="27"/>
          <w:szCs w:val="27"/>
        </w:rPr>
        <w:t>%.</w:t>
      </w:r>
    </w:p>
    <w:p w:rsidR="00FD6AF2" w:rsidRDefault="00FD6AF2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2014 году в бюджет города</w:t>
      </w:r>
      <w:r w:rsidRPr="00FD6AF2">
        <w:rPr>
          <w:sz w:val="27"/>
          <w:szCs w:val="27"/>
        </w:rPr>
        <w:t xml:space="preserve"> </w:t>
      </w:r>
      <w:r>
        <w:rPr>
          <w:sz w:val="27"/>
          <w:szCs w:val="27"/>
        </w:rPr>
        <w:t>доходы поступили в объёме 4 207 758,3</w:t>
      </w:r>
      <w:r w:rsidRPr="002C674A">
        <w:rPr>
          <w:sz w:val="27"/>
          <w:szCs w:val="27"/>
        </w:rPr>
        <w:t xml:space="preserve"> </w:t>
      </w:r>
      <w:r>
        <w:rPr>
          <w:sz w:val="27"/>
          <w:szCs w:val="27"/>
        </w:rPr>
        <w:t>тыс.рублей (</w:t>
      </w:r>
      <w:r w:rsidR="00087E01">
        <w:rPr>
          <w:sz w:val="27"/>
          <w:szCs w:val="27"/>
        </w:rPr>
        <w:t>98,78% от уточнённых плановых назначений), в том числе: собственные доходы местного бюджета – 1 889 764,0 тыс.рублей (106,33% к плану),</w:t>
      </w:r>
      <w:r>
        <w:rPr>
          <w:sz w:val="27"/>
          <w:szCs w:val="27"/>
        </w:rPr>
        <w:t xml:space="preserve"> безвозмездные посту</w:t>
      </w:r>
      <w:r w:rsidR="00087E01">
        <w:rPr>
          <w:sz w:val="27"/>
          <w:szCs w:val="27"/>
        </w:rPr>
        <w:t>пления – 2 317 994,3 тыс.рублей (93,38% к плану).</w:t>
      </w:r>
    </w:p>
    <w:p w:rsidR="00FD6AF2" w:rsidRDefault="00087E01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сравнению с 2013 годом доходы местного бюджета возросли на 37</w:t>
      </w:r>
      <w:r w:rsidR="007618A8">
        <w:rPr>
          <w:sz w:val="27"/>
          <w:szCs w:val="27"/>
        </w:rPr>
        <w:t>5 804,8 тыс.рублей или на 9,81%</w:t>
      </w:r>
      <w:r>
        <w:rPr>
          <w:sz w:val="27"/>
          <w:szCs w:val="27"/>
        </w:rPr>
        <w:t xml:space="preserve"> в основном</w:t>
      </w:r>
      <w:r w:rsidR="00AD6FB1">
        <w:rPr>
          <w:sz w:val="27"/>
          <w:szCs w:val="27"/>
        </w:rPr>
        <w:t xml:space="preserve"> за счёт увеличения объёма безвозмездных поступлений на 251 489,9 тыс.рублей и налоговых поступлений на 121 729,3 тыс.рублей (рост неналоговых доходов незначителен - 2 585,6 тыс.рублей или 0,68%).</w:t>
      </w:r>
    </w:p>
    <w:p w:rsidR="00FD6AF2" w:rsidRDefault="00AD6FB1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Следует отметить, что в 2014 году продолжился рост удельного веса безвозмездных поступлений в доходной части местного бюджета</w:t>
      </w:r>
      <w:r w:rsidR="002E7891">
        <w:rPr>
          <w:sz w:val="27"/>
          <w:szCs w:val="27"/>
        </w:rPr>
        <w:t xml:space="preserve"> (с 46,08% в 2011 году до 55,09% в 2014 году).</w:t>
      </w:r>
    </w:p>
    <w:p w:rsidR="002E7891" w:rsidRDefault="002E7891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структуре собственных доходов бюджета города 79,86% приходится на долю налоговых доходов, что на 1,28 процентных пункта больше, чем в 2013 году.</w:t>
      </w:r>
    </w:p>
    <w:p w:rsidR="002E7891" w:rsidRPr="00EC6F53" w:rsidRDefault="00EC6F53" w:rsidP="00C54A0B">
      <w:pPr>
        <w:ind w:firstLine="709"/>
        <w:jc w:val="center"/>
        <w:rPr>
          <w:b/>
          <w:sz w:val="27"/>
          <w:szCs w:val="27"/>
        </w:rPr>
      </w:pPr>
      <w:r w:rsidRPr="00EC6F53">
        <w:rPr>
          <w:b/>
          <w:sz w:val="27"/>
          <w:szCs w:val="27"/>
        </w:rPr>
        <w:t>Налоговые доходы</w:t>
      </w:r>
    </w:p>
    <w:p w:rsidR="002E7891" w:rsidRDefault="00EC6F53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процессе исполнения местного бюджета в 2014 году плановые назначения по налогам</w:t>
      </w:r>
      <w:r w:rsidR="001A4509">
        <w:rPr>
          <w:sz w:val="27"/>
          <w:szCs w:val="27"/>
        </w:rPr>
        <w:t xml:space="preserve"> в целом скорректированы в сторону увеличения на 20 316,1 тыс.рублей</w:t>
      </w:r>
      <w:r w:rsidR="00EE040E">
        <w:rPr>
          <w:sz w:val="27"/>
          <w:szCs w:val="27"/>
        </w:rPr>
        <w:t>.</w:t>
      </w:r>
      <w:r w:rsidR="001A4509">
        <w:rPr>
          <w:sz w:val="27"/>
          <w:szCs w:val="27"/>
        </w:rPr>
        <w:t xml:space="preserve"> </w:t>
      </w:r>
      <w:r w:rsidR="007618A8">
        <w:rPr>
          <w:sz w:val="27"/>
          <w:szCs w:val="27"/>
        </w:rPr>
        <w:t xml:space="preserve">Плановый объём поступлений </w:t>
      </w:r>
      <w:r w:rsidR="00593C9C">
        <w:rPr>
          <w:sz w:val="27"/>
          <w:szCs w:val="27"/>
        </w:rPr>
        <w:t>возрос</w:t>
      </w:r>
      <w:r w:rsidR="007618A8">
        <w:rPr>
          <w:sz w:val="27"/>
          <w:szCs w:val="27"/>
        </w:rPr>
        <w:t>:</w:t>
      </w:r>
    </w:p>
    <w:p w:rsidR="001A4509" w:rsidRDefault="001A4509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налогу на доходы физических лиц – на 30 000,0 тыс.рублей;</w:t>
      </w:r>
    </w:p>
    <w:p w:rsidR="001A4509" w:rsidRDefault="001A4509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налогу, взимаемому с налогоплательщиков, выбравших в качестве объекта налогообложения доходы, уменьшенные на величину расходов</w:t>
      </w:r>
      <w:r w:rsidR="00593C9C">
        <w:rPr>
          <w:sz w:val="27"/>
          <w:szCs w:val="27"/>
        </w:rPr>
        <w:t>,</w:t>
      </w:r>
      <w:r>
        <w:rPr>
          <w:sz w:val="27"/>
          <w:szCs w:val="27"/>
        </w:rPr>
        <w:t xml:space="preserve"> – на 10 000,0 тыс.рублей;</w:t>
      </w:r>
    </w:p>
    <w:p w:rsidR="001A4509" w:rsidRDefault="001A4509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налогу, взимаемому с применением патентной системы налогообложения</w:t>
      </w:r>
      <w:r w:rsidR="00EE040E">
        <w:rPr>
          <w:sz w:val="27"/>
          <w:szCs w:val="27"/>
        </w:rPr>
        <w:t>,</w:t>
      </w:r>
      <w:r>
        <w:rPr>
          <w:sz w:val="27"/>
          <w:szCs w:val="27"/>
        </w:rPr>
        <w:t xml:space="preserve"> – </w:t>
      </w:r>
      <w:r w:rsidR="00EE040E">
        <w:rPr>
          <w:sz w:val="27"/>
          <w:szCs w:val="27"/>
        </w:rPr>
        <w:t xml:space="preserve">на </w:t>
      </w:r>
      <w:r>
        <w:rPr>
          <w:sz w:val="27"/>
          <w:szCs w:val="27"/>
        </w:rPr>
        <w:t>2 000,0 тыс.рублей</w:t>
      </w:r>
      <w:r w:rsidR="00AF58EF">
        <w:rPr>
          <w:sz w:val="27"/>
          <w:szCs w:val="27"/>
        </w:rPr>
        <w:t>;</w:t>
      </w:r>
    </w:p>
    <w:p w:rsidR="00AF58EF" w:rsidRDefault="00AF58EF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земельному налогу – на 816,1 тыс.рублей.</w:t>
      </w:r>
    </w:p>
    <w:p w:rsidR="00FD6AF2" w:rsidRDefault="00AF58EF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то же время уменьшены плановые назначения по налогу, взимаемому с налогоплательщиков, выбравших в качестве объекта налогообложения доходы (на 13 247,2 тыс.рублей), по единому налогу на вменённый доход (на 8 000,0 тыс.рублей), по акцизам по подакцизным товарам (на 1 252,8 тыс.рублей).</w:t>
      </w:r>
    </w:p>
    <w:p w:rsidR="00FD6AF2" w:rsidRDefault="00AF58EF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Налоговые доходы зачислены в бюджет города в сумме 1 509 191,4 тыс.рублей, что составило 107,33% уточнённого плана</w:t>
      </w:r>
      <w:r w:rsidR="005C1D72">
        <w:rPr>
          <w:sz w:val="27"/>
          <w:szCs w:val="27"/>
        </w:rPr>
        <w:t xml:space="preserve"> (в 2013 году план по налоговым доходам был исполнен на 94,54%).</w:t>
      </w:r>
      <w:r>
        <w:rPr>
          <w:sz w:val="27"/>
          <w:szCs w:val="27"/>
        </w:rPr>
        <w:t xml:space="preserve"> </w:t>
      </w:r>
    </w:p>
    <w:p w:rsidR="00924E0E" w:rsidRDefault="00AF58EF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Традиционно в структуре налоговых доходов в 2014 году значительную долю занимают налог на доходы физических лиц (46,07%) и земельный налог (</w:t>
      </w:r>
      <w:r w:rsidR="00FB53FF">
        <w:rPr>
          <w:sz w:val="27"/>
          <w:szCs w:val="27"/>
        </w:rPr>
        <w:t>29,0%).</w:t>
      </w:r>
      <w:r w:rsidR="00EE040E">
        <w:rPr>
          <w:sz w:val="27"/>
          <w:szCs w:val="27"/>
        </w:rPr>
        <w:t xml:space="preserve"> </w:t>
      </w:r>
      <w:r w:rsidR="00924E0E" w:rsidRPr="00571DBF">
        <w:rPr>
          <w:sz w:val="27"/>
          <w:szCs w:val="27"/>
        </w:rPr>
        <w:t xml:space="preserve">Основные показатели исполнения </w:t>
      </w:r>
      <w:r w:rsidR="00FB53FF">
        <w:rPr>
          <w:sz w:val="27"/>
          <w:szCs w:val="27"/>
        </w:rPr>
        <w:t xml:space="preserve">местного </w:t>
      </w:r>
      <w:r w:rsidR="00924E0E" w:rsidRPr="00571DBF">
        <w:rPr>
          <w:sz w:val="27"/>
          <w:szCs w:val="27"/>
        </w:rPr>
        <w:t>бюджета по налоговым доходам в 201</w:t>
      </w:r>
      <w:r w:rsidR="00FB53FF">
        <w:rPr>
          <w:sz w:val="27"/>
          <w:szCs w:val="27"/>
        </w:rPr>
        <w:t>4</w:t>
      </w:r>
      <w:r w:rsidR="00924E0E" w:rsidRPr="00571DBF">
        <w:rPr>
          <w:sz w:val="27"/>
          <w:szCs w:val="27"/>
        </w:rPr>
        <w:t xml:space="preserve"> году</w:t>
      </w:r>
      <w:r w:rsidR="006C35C3">
        <w:rPr>
          <w:sz w:val="27"/>
          <w:szCs w:val="27"/>
        </w:rPr>
        <w:t xml:space="preserve"> по сравнению с 2013 годом</w:t>
      </w:r>
      <w:r w:rsidR="00924E0E" w:rsidRPr="00571DBF">
        <w:rPr>
          <w:sz w:val="27"/>
          <w:szCs w:val="27"/>
        </w:rPr>
        <w:t xml:space="preserve"> представлены в таблице</w:t>
      </w:r>
      <w:r w:rsidR="00924E0E">
        <w:rPr>
          <w:sz w:val="27"/>
          <w:szCs w:val="27"/>
        </w:rPr>
        <w:t>.</w:t>
      </w:r>
      <w:r w:rsidR="00924E0E" w:rsidRPr="00571DBF">
        <w:rPr>
          <w:sz w:val="27"/>
          <w:szCs w:val="27"/>
        </w:rPr>
        <w:t xml:space="preserve"> </w:t>
      </w:r>
    </w:p>
    <w:p w:rsidR="00924E0E" w:rsidRPr="00B2765D" w:rsidRDefault="00924E0E" w:rsidP="00924E0E">
      <w:pPr>
        <w:tabs>
          <w:tab w:val="left" w:pos="1080"/>
        </w:tabs>
        <w:ind w:firstLine="709"/>
        <w:jc w:val="right"/>
        <w:rPr>
          <w:sz w:val="22"/>
          <w:szCs w:val="22"/>
        </w:rPr>
      </w:pPr>
      <w:r w:rsidRPr="00B2765D">
        <w:rPr>
          <w:sz w:val="22"/>
          <w:szCs w:val="22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275"/>
        <w:gridCol w:w="1276"/>
        <w:gridCol w:w="992"/>
        <w:gridCol w:w="1276"/>
        <w:gridCol w:w="815"/>
      </w:tblGrid>
      <w:tr w:rsidR="00924E0E" w:rsidRPr="00492FB7" w:rsidTr="00A8772A">
        <w:tc>
          <w:tcPr>
            <w:tcW w:w="2552" w:type="dxa"/>
            <w:vMerge w:val="restart"/>
            <w:shd w:val="clear" w:color="auto" w:fill="auto"/>
            <w:vAlign w:val="center"/>
          </w:tcPr>
          <w:p w:rsidR="00924E0E" w:rsidRDefault="00924E0E" w:rsidP="00542B4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914A1">
              <w:rPr>
                <w:sz w:val="22"/>
                <w:szCs w:val="22"/>
              </w:rPr>
              <w:t xml:space="preserve">Наименование </w:t>
            </w:r>
          </w:p>
          <w:p w:rsidR="00542B4A" w:rsidRPr="005914A1" w:rsidRDefault="00542B4A" w:rsidP="00542B4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24E0E" w:rsidRPr="005914A1" w:rsidRDefault="00924E0E" w:rsidP="00FB5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914A1">
              <w:rPr>
                <w:sz w:val="22"/>
                <w:szCs w:val="22"/>
              </w:rPr>
              <w:t>Поступило</w:t>
            </w:r>
          </w:p>
          <w:p w:rsidR="00924E0E" w:rsidRPr="005914A1" w:rsidRDefault="00924E0E" w:rsidP="00FB5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914A1">
              <w:rPr>
                <w:sz w:val="22"/>
                <w:szCs w:val="22"/>
              </w:rPr>
              <w:t>в 201</w:t>
            </w:r>
            <w:r w:rsidR="00FB53FF">
              <w:rPr>
                <w:sz w:val="22"/>
                <w:szCs w:val="22"/>
              </w:rPr>
              <w:t>3</w:t>
            </w:r>
          </w:p>
          <w:p w:rsidR="00924E0E" w:rsidRPr="005914A1" w:rsidRDefault="00924E0E" w:rsidP="00FB5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914A1">
              <w:rPr>
                <w:sz w:val="22"/>
                <w:szCs w:val="22"/>
              </w:rPr>
              <w:t>году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924E0E" w:rsidRPr="005914A1" w:rsidRDefault="00924E0E" w:rsidP="00FB5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914A1">
              <w:rPr>
                <w:sz w:val="22"/>
                <w:szCs w:val="22"/>
              </w:rPr>
              <w:t>201</w:t>
            </w:r>
            <w:r w:rsidR="00FB53FF">
              <w:rPr>
                <w:sz w:val="22"/>
                <w:szCs w:val="22"/>
              </w:rPr>
              <w:t>4</w:t>
            </w:r>
            <w:r w:rsidRPr="005914A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924E0E" w:rsidRPr="005914A1" w:rsidRDefault="00924E0E" w:rsidP="00FB53FF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4A1">
              <w:rPr>
                <w:sz w:val="22"/>
                <w:szCs w:val="22"/>
              </w:rPr>
              <w:t>к 201</w:t>
            </w:r>
            <w:r w:rsidR="00FB53FF">
              <w:rPr>
                <w:sz w:val="22"/>
                <w:szCs w:val="22"/>
              </w:rPr>
              <w:t>3</w:t>
            </w:r>
            <w:r w:rsidRPr="005914A1">
              <w:rPr>
                <w:sz w:val="22"/>
                <w:szCs w:val="22"/>
              </w:rPr>
              <w:t xml:space="preserve"> году</w:t>
            </w:r>
          </w:p>
        </w:tc>
      </w:tr>
      <w:tr w:rsidR="00924E0E" w:rsidRPr="00492FB7" w:rsidTr="00A8772A">
        <w:tc>
          <w:tcPr>
            <w:tcW w:w="2552" w:type="dxa"/>
            <w:vMerge/>
            <w:shd w:val="clear" w:color="auto" w:fill="auto"/>
          </w:tcPr>
          <w:p w:rsidR="00924E0E" w:rsidRPr="005914A1" w:rsidRDefault="00924E0E" w:rsidP="00FB5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4E0E" w:rsidRPr="005914A1" w:rsidRDefault="00924E0E" w:rsidP="00FB5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24E0E" w:rsidRPr="005914A1" w:rsidRDefault="00A8772A" w:rsidP="00FB5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Уточнён.</w:t>
            </w:r>
          </w:p>
          <w:p w:rsidR="00924E0E" w:rsidRPr="005914A1" w:rsidRDefault="00924E0E" w:rsidP="00FB5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914A1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E0E" w:rsidRPr="005914A1" w:rsidRDefault="00924E0E" w:rsidP="00FB5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4E0E" w:rsidRPr="005914A1" w:rsidRDefault="00924E0E" w:rsidP="00FB5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914A1">
              <w:rPr>
                <w:sz w:val="22"/>
                <w:szCs w:val="22"/>
              </w:rPr>
              <w:t>% исполн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E0E" w:rsidRPr="005914A1" w:rsidRDefault="00924E0E" w:rsidP="00FB5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914A1">
              <w:rPr>
                <w:sz w:val="22"/>
                <w:szCs w:val="22"/>
              </w:rPr>
              <w:t>сумма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24E0E" w:rsidRPr="005914A1" w:rsidRDefault="00924E0E" w:rsidP="00FB53F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5914A1">
              <w:rPr>
                <w:sz w:val="22"/>
                <w:szCs w:val="22"/>
              </w:rPr>
              <w:t>в %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FB53FF" w:rsidP="00FB5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1.Налог на доходы физических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672 875,9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655 502,1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695 386,4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Pr="00492FB7" w:rsidRDefault="00FB53FF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+22 510,5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103,34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FB53FF" w:rsidP="00FB5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2.Налог на прибыль организаций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65 772,3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66 037,0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107 835,7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Pr="00492FB7" w:rsidRDefault="00FB53FF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+42 063,4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163,95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FB53FF" w:rsidP="00FB5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3.Налог, взимаемый в связи с применением упрощённой системы налогообложения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76 267,0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75 569,8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85 877,2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Pr="00492FB7" w:rsidRDefault="00FB53FF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+9 610,2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263423" w:rsidP="00FB5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FB53FF"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15 424,1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Default="00FB53FF" w:rsidP="00EB0C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12 362,</w:t>
            </w:r>
            <w:r w:rsidR="00EB0C4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Default="00FB53FF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+12 362,2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6F386F" w:rsidP="00FB5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53FF" w:rsidRPr="00492FB7">
              <w:rPr>
                <w:sz w:val="22"/>
                <w:szCs w:val="22"/>
              </w:rPr>
              <w:t>.Единый налог на вменённый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112 979,9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Pr="00492FB7" w:rsidRDefault="00FB53FF" w:rsidP="00FB53FF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118 530,6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107 249,8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Pr="00492FB7" w:rsidRDefault="00FB53FF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-5 730,1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94,92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6F386F" w:rsidP="00FB5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B53FF" w:rsidRPr="00492FB7">
              <w:rPr>
                <w:sz w:val="22"/>
                <w:szCs w:val="22"/>
              </w:rPr>
              <w:t>.Единый сельско</w:t>
            </w:r>
            <w:r w:rsidR="00FB53FF">
              <w:rPr>
                <w:sz w:val="22"/>
                <w:szCs w:val="22"/>
              </w:rPr>
              <w:t>-</w:t>
            </w:r>
            <w:r w:rsidR="00FB53FF" w:rsidRPr="00492FB7">
              <w:rPr>
                <w:sz w:val="22"/>
                <w:szCs w:val="22"/>
              </w:rPr>
              <w:t>хозяйственный налог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1 229,0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Pr="00492FB7" w:rsidRDefault="00FB53FF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+433,4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135,26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6F386F" w:rsidP="00A8772A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B53FF" w:rsidRPr="00492FB7">
              <w:rPr>
                <w:sz w:val="22"/>
                <w:szCs w:val="22"/>
              </w:rPr>
              <w:t>.Налог, взимаемый с применением п</w:t>
            </w:r>
            <w:r w:rsidR="00FB53FF">
              <w:rPr>
                <w:sz w:val="22"/>
                <w:szCs w:val="22"/>
              </w:rPr>
              <w:t>атентной системы налогооблож</w:t>
            </w:r>
            <w:r w:rsidR="00A8772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2 228,8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6 913,8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Pr="00492FB7" w:rsidRDefault="00FB53FF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+4 685,0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310,20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6F386F" w:rsidP="00FB5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B53FF" w:rsidRPr="00492FB7">
              <w:rPr>
                <w:sz w:val="22"/>
                <w:szCs w:val="22"/>
              </w:rPr>
              <w:t>.Налог на имущество физических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32 739,1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42 598,3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37 412,9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Pr="00492FB7" w:rsidRDefault="00FB53FF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+4 673,8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114,27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FB53FF" w:rsidP="00FB5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9.Земельный налог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411 018,2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415 028,3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437 808,8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Pr="00492FB7" w:rsidRDefault="00FB53FF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+26 790,6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106,51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FB53FF" w:rsidP="00FB5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10.Государственная пошлина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12 352,3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12 968,5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16 682,2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Pr="00492FB7" w:rsidRDefault="00FB53FF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+4 329,9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EB0C4A" w:rsidP="00FB53FF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FB53FF" w:rsidP="00FB53F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11.Задолженность по отменённым налогам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sz w:val="22"/>
                <w:szCs w:val="22"/>
              </w:rPr>
            </w:pPr>
            <w:r w:rsidRPr="00492FB7">
              <w:rPr>
                <w:sz w:val="22"/>
                <w:szCs w:val="22"/>
              </w:rPr>
              <w:t>-0,4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Pr="00492FB7" w:rsidRDefault="00D03E7D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D03E7D" w:rsidP="00FB53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Pr="00492FB7" w:rsidRDefault="00D03E7D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5C1D72" w:rsidP="00FB53FF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D03E7D">
              <w:rPr>
                <w:sz w:val="22"/>
                <w:szCs w:val="22"/>
              </w:rPr>
              <w:t>0,4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D03E7D" w:rsidP="00FB53FF">
            <w:pPr>
              <w:tabs>
                <w:tab w:val="left" w:pos="10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53FF" w:rsidRPr="00492FB7" w:rsidTr="00A8772A">
        <w:tc>
          <w:tcPr>
            <w:tcW w:w="2552" w:type="dxa"/>
            <w:shd w:val="clear" w:color="auto" w:fill="auto"/>
          </w:tcPr>
          <w:p w:rsidR="00FB53FF" w:rsidRPr="00492FB7" w:rsidRDefault="00FB53FF" w:rsidP="00FB53FF">
            <w:pPr>
              <w:tabs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  <w:r w:rsidRPr="00492FB7">
              <w:rPr>
                <w:b/>
                <w:sz w:val="22"/>
                <w:szCs w:val="22"/>
              </w:rPr>
              <w:t>Итого налоговые доходы: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FB53FF" w:rsidP="00FB53FF">
            <w:pPr>
              <w:jc w:val="right"/>
              <w:rPr>
                <w:b/>
                <w:sz w:val="22"/>
                <w:szCs w:val="22"/>
              </w:rPr>
            </w:pPr>
            <w:r w:rsidRPr="00492FB7">
              <w:rPr>
                <w:b/>
                <w:sz w:val="22"/>
                <w:szCs w:val="22"/>
              </w:rPr>
              <w:t>1 387 462,1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3FF" w:rsidRPr="00492FB7" w:rsidRDefault="00D03E7D" w:rsidP="00FB53F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1 406 154,7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D03E7D" w:rsidP="00FB53F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1 509 191,4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53FF" w:rsidRPr="00492FB7" w:rsidRDefault="00D03E7D" w:rsidP="00FB53FF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3FF" w:rsidRPr="00492FB7" w:rsidRDefault="00D03E7D" w:rsidP="00FB53FF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+121 729,3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53FF" w:rsidRPr="00492FB7" w:rsidRDefault="00D03E7D" w:rsidP="00FB53FF">
            <w:pPr>
              <w:tabs>
                <w:tab w:val="left" w:pos="10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108,77</w:t>
            </w:r>
          </w:p>
        </w:tc>
      </w:tr>
    </w:tbl>
    <w:p w:rsidR="00DD60C4" w:rsidRDefault="00DD60C4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По итогам года не выполнены уточнённые бюджетные назначения по следующим налогам:</w:t>
      </w:r>
    </w:p>
    <w:p w:rsidR="001811E9" w:rsidRDefault="00DD60C4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A51EB2">
        <w:rPr>
          <w:b/>
          <w:sz w:val="27"/>
          <w:szCs w:val="27"/>
        </w:rPr>
        <w:t>единому налогу на вменённый доход для отдельных видов деятельности</w:t>
      </w:r>
      <w:r>
        <w:rPr>
          <w:sz w:val="27"/>
          <w:szCs w:val="27"/>
        </w:rPr>
        <w:t xml:space="preserve"> – на 11 280,8 тыс.рублей (исполнение составило </w:t>
      </w:r>
      <w:r w:rsidR="00593C9C">
        <w:rPr>
          <w:sz w:val="27"/>
          <w:szCs w:val="27"/>
        </w:rPr>
        <w:t>90,48</w:t>
      </w:r>
      <w:r>
        <w:rPr>
          <w:sz w:val="27"/>
          <w:szCs w:val="27"/>
        </w:rPr>
        <w:t xml:space="preserve">%). </w:t>
      </w:r>
      <w:r w:rsidR="001811E9">
        <w:rPr>
          <w:sz w:val="27"/>
          <w:szCs w:val="27"/>
        </w:rPr>
        <w:t>По сравнению с 2013 годом поступления уменьшились на 5 730,1 тыс.рублей или на 5,08%.</w:t>
      </w:r>
    </w:p>
    <w:p w:rsidR="00DD60C4" w:rsidRDefault="00DD60C4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Из пояснительной записки</w:t>
      </w:r>
      <w:r w:rsidR="00E94F2D">
        <w:rPr>
          <w:sz w:val="27"/>
          <w:szCs w:val="27"/>
        </w:rPr>
        <w:t xml:space="preserve"> об исполнении бюджета города Волгодонска за 2014 год, представленной</w:t>
      </w:r>
      <w:r>
        <w:rPr>
          <w:sz w:val="27"/>
          <w:szCs w:val="27"/>
        </w:rPr>
        <w:t xml:space="preserve"> Финансов</w:t>
      </w:r>
      <w:r w:rsidR="00E94F2D">
        <w:rPr>
          <w:sz w:val="27"/>
          <w:szCs w:val="27"/>
        </w:rPr>
        <w:t>ым</w:t>
      </w:r>
      <w:r>
        <w:rPr>
          <w:sz w:val="27"/>
          <w:szCs w:val="27"/>
        </w:rPr>
        <w:t xml:space="preserve"> управлени</w:t>
      </w:r>
      <w:r w:rsidR="00E94F2D">
        <w:rPr>
          <w:sz w:val="27"/>
          <w:szCs w:val="27"/>
        </w:rPr>
        <w:t>ем (далее Пояснительная</w:t>
      </w:r>
      <w:r w:rsidR="000340D1">
        <w:rPr>
          <w:sz w:val="27"/>
          <w:szCs w:val="27"/>
        </w:rPr>
        <w:t xml:space="preserve"> записка),</w:t>
      </w:r>
      <w:r>
        <w:rPr>
          <w:sz w:val="27"/>
          <w:szCs w:val="27"/>
        </w:rPr>
        <w:t xml:space="preserve"> следует</w:t>
      </w:r>
      <w:r w:rsidR="000340D1">
        <w:rPr>
          <w:sz w:val="27"/>
          <w:szCs w:val="27"/>
        </w:rPr>
        <w:t xml:space="preserve">, что основной причиной неисполнения является увеличение количества налогоплательщиков, добровольно перешедших на другие системы налогообложения. </w:t>
      </w:r>
      <w:r w:rsidR="001811E9">
        <w:rPr>
          <w:sz w:val="27"/>
          <w:szCs w:val="27"/>
        </w:rPr>
        <w:t>Кроме того, из сданных в течение 2014 года 10 268 налоговых деклараций налог к уплате исчислен только по 5</w:t>
      </w:r>
      <w:r w:rsidR="00EE040E">
        <w:rPr>
          <w:sz w:val="27"/>
          <w:szCs w:val="27"/>
        </w:rPr>
        <w:t> </w:t>
      </w:r>
      <w:r w:rsidR="001811E9">
        <w:rPr>
          <w:sz w:val="27"/>
          <w:szCs w:val="27"/>
        </w:rPr>
        <w:t>370</w:t>
      </w:r>
      <w:r w:rsidR="00EE040E">
        <w:rPr>
          <w:sz w:val="27"/>
          <w:szCs w:val="27"/>
        </w:rPr>
        <w:t>.</w:t>
      </w:r>
    </w:p>
    <w:p w:rsidR="007A57E8" w:rsidRDefault="001811E9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течение 2014 года плановый показатель был снижен на 8 000,0 тыс.рублей, сумма недоимки по налогу </w:t>
      </w:r>
      <w:r w:rsidR="00A51EB2">
        <w:rPr>
          <w:sz w:val="27"/>
          <w:szCs w:val="27"/>
        </w:rPr>
        <w:t>сократилась</w:t>
      </w:r>
      <w:r>
        <w:rPr>
          <w:sz w:val="27"/>
          <w:szCs w:val="27"/>
        </w:rPr>
        <w:t xml:space="preserve"> на 2 018,5 тыс.рублей</w:t>
      </w:r>
      <w:r w:rsidR="00A51EB2">
        <w:rPr>
          <w:sz w:val="27"/>
          <w:szCs w:val="27"/>
        </w:rPr>
        <w:t xml:space="preserve"> (по </w:t>
      </w:r>
      <w:r w:rsidR="00A51EB2">
        <w:rPr>
          <w:sz w:val="27"/>
          <w:szCs w:val="27"/>
        </w:rPr>
        <w:lastRenderedPageBreak/>
        <w:t>состоянию на 01.01.2015г.</w:t>
      </w:r>
      <w:r w:rsidR="00EE040E">
        <w:rPr>
          <w:sz w:val="27"/>
          <w:szCs w:val="27"/>
        </w:rPr>
        <w:t xml:space="preserve"> </w:t>
      </w:r>
      <w:r w:rsidR="00A51EB2">
        <w:rPr>
          <w:sz w:val="27"/>
          <w:szCs w:val="27"/>
        </w:rPr>
        <w:t>составила 2 333,6 тыс.рублей), однако плановые показатели не достигнуты;</w:t>
      </w:r>
    </w:p>
    <w:p w:rsidR="00C1138E" w:rsidRDefault="00A51EB2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D75626">
        <w:rPr>
          <w:b/>
          <w:sz w:val="27"/>
          <w:szCs w:val="27"/>
        </w:rPr>
        <w:t>налогу на имущество физических лиц</w:t>
      </w:r>
      <w:r>
        <w:rPr>
          <w:sz w:val="27"/>
          <w:szCs w:val="27"/>
        </w:rPr>
        <w:t xml:space="preserve"> – на 5 </w:t>
      </w:r>
      <w:r w:rsidR="00A8772A">
        <w:rPr>
          <w:sz w:val="27"/>
          <w:szCs w:val="27"/>
        </w:rPr>
        <w:t xml:space="preserve">185,4 тыс.рублей или на 12,17% (при плане </w:t>
      </w:r>
      <w:r w:rsidR="00A8772A" w:rsidRPr="00A8772A">
        <w:rPr>
          <w:sz w:val="27"/>
          <w:szCs w:val="27"/>
        </w:rPr>
        <w:t>42 598,3</w:t>
      </w:r>
      <w:r w:rsidR="00A8772A">
        <w:rPr>
          <w:sz w:val="27"/>
          <w:szCs w:val="27"/>
        </w:rPr>
        <w:t xml:space="preserve"> тыс.рублей). </w:t>
      </w:r>
      <w:r>
        <w:rPr>
          <w:sz w:val="27"/>
          <w:szCs w:val="27"/>
        </w:rPr>
        <w:t xml:space="preserve">В Пояснительной записке причиной неисполнения прогноза названа недоимка по начислениям </w:t>
      </w:r>
      <w:r w:rsidR="00D75626">
        <w:rPr>
          <w:sz w:val="27"/>
          <w:szCs w:val="27"/>
        </w:rPr>
        <w:t>текущего</w:t>
      </w:r>
      <w:r>
        <w:rPr>
          <w:sz w:val="27"/>
          <w:szCs w:val="27"/>
        </w:rPr>
        <w:t xml:space="preserve"> года</w:t>
      </w:r>
      <w:r w:rsidR="00D7562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A51EB2" w:rsidRDefault="00C1138E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По представленной Финансовым управлением информации в течение 2014 года сумма недоимки по налогу сократилась на 1 517,2 тыс.рублей и сложилась по состоянию на 01.01.2015г. в объёме 12 552,5 тыс.рублей.</w:t>
      </w:r>
    </w:p>
    <w:p w:rsidR="00D75626" w:rsidRDefault="00D75626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7A57E8">
        <w:rPr>
          <w:sz w:val="27"/>
          <w:szCs w:val="27"/>
        </w:rPr>
        <w:t xml:space="preserve">Следует отметить, что </w:t>
      </w:r>
      <w:r w:rsidR="0093766E" w:rsidRPr="007A57E8">
        <w:rPr>
          <w:sz w:val="27"/>
          <w:szCs w:val="27"/>
        </w:rPr>
        <w:t>в заключениях Контрольно-счётной палат</w:t>
      </w:r>
      <w:r w:rsidR="00FF3566" w:rsidRPr="007A57E8">
        <w:rPr>
          <w:sz w:val="27"/>
          <w:szCs w:val="27"/>
        </w:rPr>
        <w:t>ы</w:t>
      </w:r>
      <w:r w:rsidR="0093766E" w:rsidRPr="007A57E8">
        <w:rPr>
          <w:sz w:val="27"/>
          <w:szCs w:val="27"/>
        </w:rPr>
        <w:t xml:space="preserve"> по результатам внешней проверки отчётов об исполнении бюджета города за 2012, 2013 годы отмечалось очень низкое исполнение плановых показателей</w:t>
      </w:r>
      <w:r w:rsidR="00FF3566" w:rsidRPr="007A57E8">
        <w:rPr>
          <w:sz w:val="27"/>
          <w:szCs w:val="27"/>
        </w:rPr>
        <w:t xml:space="preserve"> по налогу</w:t>
      </w:r>
      <w:r w:rsidR="0093766E" w:rsidRPr="007A57E8">
        <w:rPr>
          <w:sz w:val="27"/>
          <w:szCs w:val="27"/>
        </w:rPr>
        <w:t>: в 2012 году – 47,94%</w:t>
      </w:r>
      <w:r w:rsidR="00FF3566" w:rsidRPr="007A57E8">
        <w:rPr>
          <w:sz w:val="27"/>
          <w:szCs w:val="27"/>
        </w:rPr>
        <w:t xml:space="preserve"> при плане 69 845,9 тыс.рублей</w:t>
      </w:r>
      <w:r w:rsidR="0093766E" w:rsidRPr="007A57E8">
        <w:rPr>
          <w:sz w:val="27"/>
          <w:szCs w:val="27"/>
        </w:rPr>
        <w:t>, в 2013 году – 44,78%</w:t>
      </w:r>
      <w:r w:rsidR="00FF3566" w:rsidRPr="007A57E8">
        <w:rPr>
          <w:sz w:val="27"/>
          <w:szCs w:val="27"/>
        </w:rPr>
        <w:t xml:space="preserve"> при плане 73 104,7 тыс.рублей</w:t>
      </w:r>
      <w:r w:rsidR="0093766E" w:rsidRPr="007A57E8">
        <w:rPr>
          <w:sz w:val="27"/>
          <w:szCs w:val="27"/>
        </w:rPr>
        <w:t>.</w:t>
      </w:r>
      <w:r w:rsidR="00FF3566" w:rsidRPr="007A57E8">
        <w:rPr>
          <w:sz w:val="27"/>
          <w:szCs w:val="27"/>
        </w:rPr>
        <w:t xml:space="preserve"> Прогнозный план объёма поступлений на 2014 год был более реальным (по оценке Палаты завышение показателя при формировании местного бюджета на отчётный год составило 1 </w:t>
      </w:r>
      <w:r w:rsidR="007A57E8" w:rsidRPr="007A57E8">
        <w:rPr>
          <w:sz w:val="27"/>
          <w:szCs w:val="27"/>
        </w:rPr>
        <w:t xml:space="preserve">324,6 тыс.рублей), </w:t>
      </w:r>
      <w:r w:rsidR="00FF3566" w:rsidRPr="007A57E8">
        <w:rPr>
          <w:sz w:val="27"/>
          <w:szCs w:val="27"/>
        </w:rPr>
        <w:t xml:space="preserve">к </w:t>
      </w:r>
      <w:r w:rsidR="00C1138E" w:rsidRPr="007A57E8">
        <w:rPr>
          <w:sz w:val="27"/>
          <w:szCs w:val="27"/>
        </w:rPr>
        <w:t>уровню 2013 года</w:t>
      </w:r>
      <w:r w:rsidR="00FF3566" w:rsidRPr="007A57E8">
        <w:rPr>
          <w:sz w:val="27"/>
          <w:szCs w:val="27"/>
        </w:rPr>
        <w:t xml:space="preserve"> фактические поступления налога увеличились</w:t>
      </w:r>
      <w:r w:rsidR="00C1138E" w:rsidRPr="007A57E8">
        <w:rPr>
          <w:sz w:val="27"/>
          <w:szCs w:val="27"/>
        </w:rPr>
        <w:t xml:space="preserve"> н</w:t>
      </w:r>
      <w:r w:rsidR="00FF3566" w:rsidRPr="007A57E8">
        <w:rPr>
          <w:sz w:val="27"/>
          <w:szCs w:val="27"/>
        </w:rPr>
        <w:t>а 4 673,8 тыс.рублей</w:t>
      </w:r>
      <w:r w:rsidR="00C1138E" w:rsidRPr="007A57E8">
        <w:rPr>
          <w:sz w:val="27"/>
          <w:szCs w:val="27"/>
        </w:rPr>
        <w:t xml:space="preserve"> или на 14,27%</w:t>
      </w:r>
      <w:r w:rsidR="00654D5D" w:rsidRPr="007A57E8">
        <w:rPr>
          <w:sz w:val="27"/>
          <w:szCs w:val="27"/>
        </w:rPr>
        <w:t>;</w:t>
      </w:r>
    </w:p>
    <w:p w:rsidR="00D75626" w:rsidRDefault="00C1138E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7A57E8">
        <w:rPr>
          <w:b/>
          <w:sz w:val="27"/>
          <w:szCs w:val="27"/>
        </w:rPr>
        <w:t>акцизам по подакцизным товарам</w:t>
      </w:r>
      <w:r>
        <w:rPr>
          <w:sz w:val="27"/>
          <w:szCs w:val="27"/>
        </w:rPr>
        <w:t xml:space="preserve"> – на 3 061,9 тыс.рублей или на 19,85%. (в июле 2014 года плановый показатель был скорректирован в сторону уменьшения на </w:t>
      </w:r>
      <w:r w:rsidR="005C1D72">
        <w:rPr>
          <w:sz w:val="27"/>
          <w:szCs w:val="27"/>
        </w:rPr>
        <w:t>1 252,8 тыс.рублей).</w:t>
      </w:r>
    </w:p>
    <w:p w:rsidR="00D03E7D" w:rsidRDefault="007A57E8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то </w:t>
      </w:r>
      <w:r w:rsidR="0095795B">
        <w:rPr>
          <w:sz w:val="27"/>
          <w:szCs w:val="27"/>
        </w:rPr>
        <w:t>же время п</w:t>
      </w:r>
      <w:r w:rsidR="005C1D72">
        <w:rPr>
          <w:sz w:val="27"/>
          <w:szCs w:val="27"/>
        </w:rPr>
        <w:t>лан поступлений перевыполнен</w:t>
      </w:r>
      <w:r w:rsidR="006F386F">
        <w:rPr>
          <w:sz w:val="27"/>
          <w:szCs w:val="27"/>
        </w:rPr>
        <w:t>:</w:t>
      </w:r>
    </w:p>
    <w:p w:rsidR="00654D5D" w:rsidRDefault="005C1D72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654D5D">
        <w:rPr>
          <w:b/>
          <w:sz w:val="27"/>
          <w:szCs w:val="27"/>
        </w:rPr>
        <w:t>по налогу на прибыль организаций</w:t>
      </w:r>
      <w:r>
        <w:rPr>
          <w:sz w:val="27"/>
          <w:szCs w:val="27"/>
        </w:rPr>
        <w:t xml:space="preserve"> – на 41 798,7 тыс.рублей (выполнен</w:t>
      </w:r>
      <w:r w:rsidR="007A57E8">
        <w:rPr>
          <w:sz w:val="27"/>
          <w:szCs w:val="27"/>
        </w:rPr>
        <w:t>ие –</w:t>
      </w:r>
      <w:r>
        <w:rPr>
          <w:sz w:val="27"/>
          <w:szCs w:val="27"/>
        </w:rPr>
        <w:t xml:space="preserve"> 163,3</w:t>
      </w:r>
      <w:r w:rsidR="007A57E8">
        <w:rPr>
          <w:sz w:val="27"/>
          <w:szCs w:val="27"/>
        </w:rPr>
        <w:t>0</w:t>
      </w:r>
      <w:r>
        <w:rPr>
          <w:sz w:val="27"/>
          <w:szCs w:val="27"/>
        </w:rPr>
        <w:t>%). По сравнению с 2013 годом</w:t>
      </w:r>
      <w:r w:rsidR="00654D5D">
        <w:rPr>
          <w:sz w:val="27"/>
          <w:szCs w:val="27"/>
        </w:rPr>
        <w:t xml:space="preserve"> поступления увеличились на 42 063,4 тыс.рублей или на 63,95%. Из Пояснительной записки следует, что перевыполнение плана связано с поступлением налога в объёме выше прогнозируемого от филиала ОАО «Концерн Росэнергоатом» Ростовская атомная станция и поступлением средств, доначисленных по актам налоговых проверок. </w:t>
      </w:r>
    </w:p>
    <w:p w:rsidR="00654D5D" w:rsidRDefault="00654D5D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Вместе с тем по информации Финансового управления </w:t>
      </w:r>
      <w:r w:rsidRPr="008F1385">
        <w:rPr>
          <w:sz w:val="27"/>
          <w:szCs w:val="27"/>
        </w:rPr>
        <w:t xml:space="preserve">на 17 014,1 тыс.рублей возросла недоимка </w:t>
      </w:r>
      <w:r w:rsidR="007A57E8">
        <w:rPr>
          <w:sz w:val="27"/>
          <w:szCs w:val="27"/>
        </w:rPr>
        <w:t xml:space="preserve">по налогу </w:t>
      </w:r>
      <w:r w:rsidRPr="008F1385">
        <w:rPr>
          <w:sz w:val="27"/>
          <w:szCs w:val="27"/>
        </w:rPr>
        <w:t>в консолидированный бюджет области</w:t>
      </w:r>
      <w:r>
        <w:rPr>
          <w:sz w:val="27"/>
          <w:szCs w:val="27"/>
        </w:rPr>
        <w:t>, объём которой на конец 2014 года составил 31 933,1 тыс.рублей;</w:t>
      </w:r>
    </w:p>
    <w:p w:rsidR="0095795B" w:rsidRDefault="0095795B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95795B">
        <w:rPr>
          <w:b/>
          <w:sz w:val="27"/>
          <w:szCs w:val="27"/>
        </w:rPr>
        <w:t>п</w:t>
      </w:r>
      <w:r w:rsidR="00654D5D" w:rsidRPr="0095795B">
        <w:rPr>
          <w:b/>
          <w:sz w:val="27"/>
          <w:szCs w:val="27"/>
        </w:rPr>
        <w:t>о налогу на доходы физических лиц</w:t>
      </w:r>
      <w:r w:rsidR="00654D5D">
        <w:rPr>
          <w:sz w:val="27"/>
          <w:szCs w:val="27"/>
        </w:rPr>
        <w:t xml:space="preserve"> – на 39 884,</w:t>
      </w:r>
      <w:r>
        <w:rPr>
          <w:sz w:val="27"/>
          <w:szCs w:val="27"/>
        </w:rPr>
        <w:t>3 тыс.рублей или на 6,08% (в связи с получением дополнительных доходов план по налогу был в течение года увеличен на 30 000,0 тыс.рублей).</w:t>
      </w:r>
      <w:r w:rsidR="00593C9C">
        <w:rPr>
          <w:sz w:val="27"/>
          <w:szCs w:val="27"/>
        </w:rPr>
        <w:t xml:space="preserve"> Согласно Пояснительной записке</w:t>
      </w:r>
      <w:r w:rsidR="008221E5">
        <w:rPr>
          <w:sz w:val="27"/>
          <w:szCs w:val="27"/>
        </w:rPr>
        <w:t xml:space="preserve"> основной причиной перевыполнения плана является поступление средств, доначисленных по актам налоговых проверок.</w:t>
      </w:r>
    </w:p>
    <w:p w:rsidR="00654D5D" w:rsidRDefault="0095795B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Уровень поступлений 2013 года превышен на 22 510,5 тыс.рублей (на 3,34%). Сумма недоимки увеличилась за 2014 год на </w:t>
      </w:r>
      <w:r w:rsidR="008221E5">
        <w:rPr>
          <w:sz w:val="27"/>
          <w:szCs w:val="27"/>
        </w:rPr>
        <w:t>1 405,7 тыс.рублей и составила на кон</w:t>
      </w:r>
      <w:r w:rsidR="00365863">
        <w:rPr>
          <w:sz w:val="27"/>
          <w:szCs w:val="27"/>
        </w:rPr>
        <w:t>е</w:t>
      </w:r>
      <w:r w:rsidR="008221E5">
        <w:rPr>
          <w:sz w:val="27"/>
          <w:szCs w:val="27"/>
        </w:rPr>
        <w:t>ц года 24 322,3 тыс.рублей;</w:t>
      </w:r>
    </w:p>
    <w:p w:rsidR="00D909D4" w:rsidRDefault="008221E5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8221E5">
        <w:rPr>
          <w:b/>
          <w:sz w:val="27"/>
          <w:szCs w:val="27"/>
        </w:rPr>
        <w:t>по земельному налогу</w:t>
      </w:r>
      <w:r>
        <w:rPr>
          <w:sz w:val="27"/>
          <w:szCs w:val="27"/>
        </w:rPr>
        <w:t xml:space="preserve"> – на 22 780,5 тыс.рублей или на 5,49%.</w:t>
      </w:r>
      <w:r w:rsidR="00D63EAB">
        <w:rPr>
          <w:sz w:val="27"/>
          <w:szCs w:val="27"/>
        </w:rPr>
        <w:t xml:space="preserve"> План перевы</w:t>
      </w:r>
      <w:r w:rsidR="00D63EAB" w:rsidRPr="00571DBF">
        <w:rPr>
          <w:sz w:val="27"/>
          <w:szCs w:val="27"/>
        </w:rPr>
        <w:t xml:space="preserve">полнен в связи с увеличением налоговой базы по земельному налогу в результате продажи земельных участков в </w:t>
      </w:r>
      <w:r w:rsidR="00D63EAB">
        <w:rPr>
          <w:sz w:val="27"/>
          <w:szCs w:val="27"/>
        </w:rPr>
        <w:t>собственность</w:t>
      </w:r>
      <w:r w:rsidR="00D909D4">
        <w:rPr>
          <w:sz w:val="27"/>
          <w:szCs w:val="27"/>
        </w:rPr>
        <w:t>.</w:t>
      </w:r>
    </w:p>
    <w:p w:rsidR="00D63EAB" w:rsidRPr="00571DBF" w:rsidRDefault="00D909D4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Как следует из </w:t>
      </w:r>
      <w:r w:rsidR="00D63EAB" w:rsidRPr="00571DBF">
        <w:rPr>
          <w:bCs/>
          <w:iCs/>
          <w:sz w:val="27"/>
          <w:szCs w:val="27"/>
        </w:rPr>
        <w:t>Пояснительной записк</w:t>
      </w:r>
      <w:r>
        <w:rPr>
          <w:bCs/>
          <w:iCs/>
          <w:sz w:val="27"/>
          <w:szCs w:val="27"/>
        </w:rPr>
        <w:t>и,</w:t>
      </w:r>
      <w:r w:rsidR="00D63EAB" w:rsidRPr="00571DBF">
        <w:rPr>
          <w:bCs/>
          <w:iCs/>
          <w:sz w:val="27"/>
          <w:szCs w:val="27"/>
        </w:rPr>
        <w:t xml:space="preserve"> </w:t>
      </w:r>
      <w:r w:rsidR="00D63EAB">
        <w:rPr>
          <w:sz w:val="27"/>
          <w:szCs w:val="27"/>
        </w:rPr>
        <w:t>о</w:t>
      </w:r>
      <w:r w:rsidR="00D63EAB" w:rsidRPr="00571DBF">
        <w:rPr>
          <w:sz w:val="27"/>
          <w:szCs w:val="27"/>
        </w:rPr>
        <w:t>дной из при</w:t>
      </w:r>
      <w:r w:rsidR="00D63EAB">
        <w:rPr>
          <w:sz w:val="27"/>
          <w:szCs w:val="27"/>
        </w:rPr>
        <w:t xml:space="preserve">чин сверхплановых поступлений </w:t>
      </w:r>
      <w:r w:rsidR="00D63EAB" w:rsidRPr="00571DBF">
        <w:rPr>
          <w:sz w:val="27"/>
          <w:szCs w:val="27"/>
        </w:rPr>
        <w:t xml:space="preserve">является также перечисление авансовых платежей за </w:t>
      </w:r>
      <w:r w:rsidR="00D63EAB" w:rsidRPr="00571DBF">
        <w:rPr>
          <w:sz w:val="27"/>
          <w:szCs w:val="27"/>
          <w:lang w:val="en-US"/>
        </w:rPr>
        <w:t>IV</w:t>
      </w:r>
      <w:r w:rsidR="00D63EAB" w:rsidRPr="00571DBF">
        <w:rPr>
          <w:sz w:val="27"/>
          <w:szCs w:val="27"/>
        </w:rPr>
        <w:t xml:space="preserve"> квартал 201</w:t>
      </w:r>
      <w:r>
        <w:rPr>
          <w:sz w:val="27"/>
          <w:szCs w:val="27"/>
        </w:rPr>
        <w:t>4</w:t>
      </w:r>
      <w:r w:rsidR="00D63EAB" w:rsidRPr="00571DBF">
        <w:rPr>
          <w:sz w:val="27"/>
          <w:szCs w:val="27"/>
        </w:rPr>
        <w:t xml:space="preserve"> года в декабре, т</w:t>
      </w:r>
      <w:r w:rsidR="00D63EAB">
        <w:rPr>
          <w:sz w:val="27"/>
          <w:szCs w:val="27"/>
        </w:rPr>
        <w:t>о есть</w:t>
      </w:r>
      <w:r w:rsidR="00D63EAB" w:rsidRPr="00571DBF">
        <w:rPr>
          <w:sz w:val="27"/>
          <w:szCs w:val="27"/>
        </w:rPr>
        <w:t xml:space="preserve"> ра</w:t>
      </w:r>
      <w:r w:rsidR="00D63EAB">
        <w:rPr>
          <w:sz w:val="27"/>
          <w:szCs w:val="27"/>
        </w:rPr>
        <w:t>ньше установленного срока.</w:t>
      </w:r>
    </w:p>
    <w:p w:rsidR="00D03E7D" w:rsidRDefault="00D909D4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По сравнению с прошлым отчётным периодом поступления налога увеличились на 26 790,6 тыс.рублей (на 6,51%). В</w:t>
      </w:r>
      <w:r w:rsidR="00D63EAB" w:rsidRPr="00571DBF">
        <w:rPr>
          <w:sz w:val="27"/>
          <w:szCs w:val="27"/>
        </w:rPr>
        <w:t xml:space="preserve"> течение 201</w:t>
      </w:r>
      <w:r>
        <w:rPr>
          <w:sz w:val="27"/>
          <w:szCs w:val="27"/>
        </w:rPr>
        <w:t>4</w:t>
      </w:r>
      <w:r w:rsidR="00D63EAB" w:rsidRPr="00571DBF">
        <w:rPr>
          <w:sz w:val="27"/>
          <w:szCs w:val="27"/>
        </w:rPr>
        <w:t xml:space="preserve"> года недоимка </w:t>
      </w:r>
      <w:r w:rsidR="00D63EAB" w:rsidRPr="00571DBF">
        <w:rPr>
          <w:sz w:val="27"/>
          <w:szCs w:val="27"/>
        </w:rPr>
        <w:lastRenderedPageBreak/>
        <w:t xml:space="preserve">по налогу </w:t>
      </w:r>
      <w:r>
        <w:rPr>
          <w:sz w:val="27"/>
          <w:szCs w:val="27"/>
        </w:rPr>
        <w:t>увеличилась на 4 762,5 тыс.рублей</w:t>
      </w:r>
      <w:r w:rsidR="00D63EAB" w:rsidRPr="00571DBF">
        <w:rPr>
          <w:sz w:val="27"/>
          <w:szCs w:val="27"/>
        </w:rPr>
        <w:t xml:space="preserve"> и по состоянию на 01.01.201</w:t>
      </w:r>
      <w:r>
        <w:rPr>
          <w:sz w:val="27"/>
          <w:szCs w:val="27"/>
        </w:rPr>
        <w:t>5</w:t>
      </w:r>
      <w:r w:rsidR="00D63EAB" w:rsidRPr="00571DBF">
        <w:rPr>
          <w:sz w:val="27"/>
          <w:szCs w:val="27"/>
        </w:rPr>
        <w:t xml:space="preserve">г. составила </w:t>
      </w:r>
      <w:r>
        <w:rPr>
          <w:sz w:val="27"/>
          <w:szCs w:val="27"/>
        </w:rPr>
        <w:t>17 018,3 тыс.рублей;</w:t>
      </w:r>
    </w:p>
    <w:p w:rsidR="00D909D4" w:rsidRDefault="00D909D4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D909D4">
        <w:rPr>
          <w:b/>
          <w:sz w:val="27"/>
          <w:szCs w:val="27"/>
        </w:rPr>
        <w:t>по налогу, взимаемому в связи с применением упрощённой системы налогообложения</w:t>
      </w:r>
      <w:r>
        <w:rPr>
          <w:sz w:val="27"/>
          <w:szCs w:val="27"/>
        </w:rPr>
        <w:t xml:space="preserve"> – на 10 307,4 тыс.рублей или на 13,64% (в июле 2014 года плановый показатель был уменьшен на 3 247,2 тыс.рублей).</w:t>
      </w:r>
      <w:r w:rsidR="00365863" w:rsidRPr="00365863">
        <w:rPr>
          <w:sz w:val="27"/>
          <w:szCs w:val="27"/>
        </w:rPr>
        <w:t xml:space="preserve"> </w:t>
      </w:r>
      <w:r w:rsidR="00365863">
        <w:rPr>
          <w:sz w:val="27"/>
          <w:szCs w:val="27"/>
        </w:rPr>
        <w:t>Согласно Пояснительной записке, план перевыполнен в связи с ростом налоговой базы (доходов) налогоплательщиков, выбравших данную систему налогообложения.</w:t>
      </w:r>
    </w:p>
    <w:p w:rsidR="00365863" w:rsidRDefault="00365863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Уровень поступлений 2013 года превышен на 9 610,2 тыс.рублей (на 12,6%). Сумма недоимки увеличилась за 2014 год на 1 938,3 тыс.рублей и составила на конец года 5 545,3 тыс.рублей;</w:t>
      </w:r>
    </w:p>
    <w:p w:rsidR="00D03E7D" w:rsidRDefault="00365863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365863">
        <w:rPr>
          <w:b/>
          <w:sz w:val="27"/>
          <w:szCs w:val="27"/>
        </w:rPr>
        <w:t>государственной пошлин</w:t>
      </w:r>
      <w:r w:rsidR="00B803A8">
        <w:rPr>
          <w:b/>
          <w:sz w:val="27"/>
          <w:szCs w:val="27"/>
        </w:rPr>
        <w:t>е</w:t>
      </w:r>
      <w:r>
        <w:rPr>
          <w:sz w:val="27"/>
          <w:szCs w:val="27"/>
        </w:rPr>
        <w:t xml:space="preserve"> – на 3 713,7 тыс.рублей (план выполнен на 128,64%). По сравнению с 2013 годом поступления увеличились на 4 329,</w:t>
      </w:r>
      <w:r w:rsidR="00B803A8">
        <w:rPr>
          <w:sz w:val="27"/>
          <w:szCs w:val="27"/>
        </w:rPr>
        <w:t>9 тыс.рублей или на 35,</w:t>
      </w:r>
      <w:r w:rsidR="00593C9C">
        <w:rPr>
          <w:sz w:val="27"/>
          <w:szCs w:val="27"/>
        </w:rPr>
        <w:t>50</w:t>
      </w:r>
      <w:r w:rsidR="00B803A8">
        <w:rPr>
          <w:sz w:val="27"/>
          <w:szCs w:val="27"/>
        </w:rPr>
        <w:t xml:space="preserve">% </w:t>
      </w:r>
      <w:r>
        <w:rPr>
          <w:sz w:val="27"/>
          <w:szCs w:val="27"/>
        </w:rPr>
        <w:t xml:space="preserve">за счёт пошлины по делам, рассматриваемым в </w:t>
      </w:r>
      <w:r w:rsidR="00B803A8">
        <w:rPr>
          <w:sz w:val="27"/>
          <w:szCs w:val="27"/>
        </w:rPr>
        <w:t>судах общей юрисдикции, мировыми судьями (рост 149,42%);</w:t>
      </w:r>
    </w:p>
    <w:p w:rsidR="00B803A8" w:rsidRDefault="00B803A8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2D382C">
        <w:rPr>
          <w:b/>
          <w:sz w:val="27"/>
          <w:szCs w:val="27"/>
        </w:rPr>
        <w:t>по налогу, взимаемому в связи с применением патентной системы налогообложения</w:t>
      </w:r>
      <w:r>
        <w:rPr>
          <w:sz w:val="27"/>
          <w:szCs w:val="27"/>
        </w:rPr>
        <w:t xml:space="preserve"> – на 3 506,5 тыс.рублей или на 102,91%. К уровню 2013 года поступления увеличились на 4 685,0 тыс.рублей (</w:t>
      </w:r>
      <w:r w:rsidR="007A57E8">
        <w:rPr>
          <w:sz w:val="27"/>
          <w:szCs w:val="27"/>
        </w:rPr>
        <w:t>на 2</w:t>
      </w:r>
      <w:r>
        <w:rPr>
          <w:sz w:val="27"/>
          <w:szCs w:val="27"/>
        </w:rPr>
        <w:t>10,20%)</w:t>
      </w:r>
      <w:r w:rsidR="002D382C">
        <w:rPr>
          <w:sz w:val="27"/>
          <w:szCs w:val="27"/>
        </w:rPr>
        <w:t>, рост недоимки незначительный – 168,1 тыс.рублей.</w:t>
      </w:r>
    </w:p>
    <w:p w:rsidR="002D382C" w:rsidRDefault="002D382C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Как следует из Пояснительной записки, превышение фактического объёма поступлений по налогу над плановым и над объёмом поступлений 2013 года обусловлено ростом в течение года почти в два раза количества налогоплательщиков,</w:t>
      </w:r>
      <w:r w:rsidRPr="002D382C">
        <w:rPr>
          <w:sz w:val="27"/>
          <w:szCs w:val="27"/>
        </w:rPr>
        <w:t xml:space="preserve"> </w:t>
      </w:r>
      <w:r>
        <w:rPr>
          <w:sz w:val="27"/>
          <w:szCs w:val="27"/>
        </w:rPr>
        <w:t>выбравших данную систему налогообложения</w:t>
      </w:r>
      <w:r w:rsidR="007A57E8">
        <w:rPr>
          <w:sz w:val="27"/>
          <w:szCs w:val="27"/>
        </w:rPr>
        <w:t>;</w:t>
      </w:r>
    </w:p>
    <w:p w:rsidR="00D03E7D" w:rsidRDefault="002D382C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2D382C">
        <w:rPr>
          <w:b/>
          <w:sz w:val="27"/>
          <w:szCs w:val="27"/>
        </w:rPr>
        <w:t>по единому сельскохозяйственному налогу</w:t>
      </w:r>
      <w:r>
        <w:rPr>
          <w:sz w:val="27"/>
          <w:szCs w:val="27"/>
        </w:rPr>
        <w:t xml:space="preserve"> – на 573,7 тыс.рублей или на 52,70%. По сравнению с 2013 годом поступления налога увеличились </w:t>
      </w:r>
      <w:r w:rsidR="00593C9C">
        <w:rPr>
          <w:sz w:val="27"/>
          <w:szCs w:val="27"/>
        </w:rPr>
        <w:t>на 433,4 тыс.рублей (на 35,26%).</w:t>
      </w:r>
    </w:p>
    <w:p w:rsidR="00D03E7D" w:rsidRDefault="0053509C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По информации отдела экономического развития, малого предпринимательства и туризма Администрации города Волгодонска в</w:t>
      </w:r>
      <w:r w:rsidR="00524674">
        <w:rPr>
          <w:sz w:val="27"/>
          <w:szCs w:val="27"/>
        </w:rPr>
        <w:t xml:space="preserve"> целях обеспечения дополнительных поступлений в бюджет, сокращения задолженности по налогам в 2014 году проведено 7 заседаний городской координационной комиссии, заслушаны руководители (представители) 25 организаций-недоимщиков, из которых 18 организаций имели задолженность в консолидированный бюджет области в сумме 10,5 млн.рублей. По итогам работы комиссии сумма погашенной задолженности по на</w:t>
      </w:r>
      <w:r>
        <w:rPr>
          <w:sz w:val="27"/>
          <w:szCs w:val="27"/>
        </w:rPr>
        <w:t>логам составила 4,2 млн.рублей</w:t>
      </w:r>
      <w:r w:rsidR="00524674">
        <w:rPr>
          <w:sz w:val="27"/>
          <w:szCs w:val="27"/>
        </w:rPr>
        <w:t>.</w:t>
      </w:r>
    </w:p>
    <w:p w:rsidR="00B9798C" w:rsidRDefault="00B9798C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В то</w:t>
      </w:r>
      <w:r w:rsidR="0053509C">
        <w:rPr>
          <w:sz w:val="27"/>
          <w:szCs w:val="27"/>
        </w:rPr>
        <w:t xml:space="preserve"> </w:t>
      </w:r>
      <w:r>
        <w:rPr>
          <w:sz w:val="27"/>
          <w:szCs w:val="27"/>
        </w:rPr>
        <w:t>же время общая сумма недоимки по налоговым платежам в консолидированный бюджет области выросла за 2014 год на 21 810,2 тыс.рублей и по состоянию на 01.01.2015г. составила 153 346,9 тыс.рублей.</w:t>
      </w:r>
    </w:p>
    <w:p w:rsidR="00D03E7D" w:rsidRPr="00B9798C" w:rsidRDefault="00B9798C" w:rsidP="00C54A0B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798C">
        <w:rPr>
          <w:b/>
          <w:sz w:val="27"/>
          <w:szCs w:val="27"/>
        </w:rPr>
        <w:t>Неналоговые доходы</w:t>
      </w:r>
    </w:p>
    <w:p w:rsidR="00D03E7D" w:rsidRDefault="005E7BE6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В процессе исполнения решения о бюджете города на 2014 год плановые назначения по неналоговым доходам в целом скорректированы в сторону увеличения на 10 500,0 тыс.рублей</w:t>
      </w:r>
      <w:r w:rsidR="005D55A3">
        <w:rPr>
          <w:sz w:val="27"/>
          <w:szCs w:val="27"/>
        </w:rPr>
        <w:t xml:space="preserve"> (в том числе на 10 000,0 тыс.рублей – по доходам от продажи земельных участков)</w:t>
      </w:r>
      <w:r>
        <w:rPr>
          <w:sz w:val="27"/>
          <w:szCs w:val="27"/>
        </w:rPr>
        <w:t xml:space="preserve"> и составили 371 122,4 тыс.рублей. По данным Отчёта доходы поступили в сумме 380 572,6 тыс.рублей, что на 9 450,2 тыс.рублей или на 2,55% больше утверждённого плана. </w:t>
      </w:r>
    </w:p>
    <w:p w:rsidR="00924E0E" w:rsidRDefault="00924E0E" w:rsidP="00C54A0B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571DBF">
        <w:rPr>
          <w:sz w:val="27"/>
          <w:szCs w:val="27"/>
        </w:rPr>
        <w:t>Основные показатели исполнения бюджета по неналоговым доходам в 201</w:t>
      </w:r>
      <w:r w:rsidR="005D55A3">
        <w:rPr>
          <w:sz w:val="27"/>
          <w:szCs w:val="27"/>
        </w:rPr>
        <w:t>4</w:t>
      </w:r>
      <w:r w:rsidRPr="00571DBF">
        <w:rPr>
          <w:sz w:val="27"/>
          <w:szCs w:val="27"/>
        </w:rPr>
        <w:t xml:space="preserve"> году </w:t>
      </w:r>
      <w:r w:rsidR="006C35C3">
        <w:rPr>
          <w:sz w:val="27"/>
          <w:szCs w:val="27"/>
        </w:rPr>
        <w:t xml:space="preserve">в сравнении с 2013 годом </w:t>
      </w:r>
      <w:r w:rsidRPr="00571DBF">
        <w:rPr>
          <w:sz w:val="27"/>
          <w:szCs w:val="27"/>
        </w:rPr>
        <w:t>представлены в таблице</w:t>
      </w:r>
      <w:r>
        <w:rPr>
          <w:sz w:val="27"/>
          <w:szCs w:val="27"/>
        </w:rPr>
        <w:t>.</w:t>
      </w:r>
      <w:r w:rsidRPr="00F56EA0">
        <w:rPr>
          <w:sz w:val="28"/>
          <w:szCs w:val="28"/>
        </w:rPr>
        <w:t xml:space="preserve"> </w:t>
      </w:r>
    </w:p>
    <w:p w:rsidR="00924E0E" w:rsidRPr="00F56EA0" w:rsidRDefault="00924E0E" w:rsidP="00924E0E">
      <w:pPr>
        <w:tabs>
          <w:tab w:val="left" w:pos="1080"/>
        </w:tabs>
        <w:ind w:firstLine="709"/>
        <w:jc w:val="right"/>
        <w:rPr>
          <w:sz w:val="22"/>
          <w:szCs w:val="22"/>
        </w:rPr>
      </w:pPr>
      <w:r w:rsidRPr="00F56EA0">
        <w:rPr>
          <w:sz w:val="22"/>
          <w:szCs w:val="22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186"/>
        <w:gridCol w:w="1256"/>
        <w:gridCol w:w="1199"/>
        <w:gridCol w:w="924"/>
        <w:gridCol w:w="1195"/>
        <w:gridCol w:w="822"/>
      </w:tblGrid>
      <w:tr w:rsidR="00924E0E" w:rsidRPr="00F56EA0" w:rsidTr="00CD40C4">
        <w:tc>
          <w:tcPr>
            <w:tcW w:w="2988" w:type="dxa"/>
            <w:vMerge w:val="restart"/>
            <w:shd w:val="clear" w:color="auto" w:fill="auto"/>
            <w:vAlign w:val="center"/>
          </w:tcPr>
          <w:p w:rsidR="00542B4A" w:rsidRDefault="00924E0E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lastRenderedPageBreak/>
              <w:t>Наименование</w:t>
            </w:r>
          </w:p>
          <w:p w:rsidR="00924E0E" w:rsidRPr="00F56EA0" w:rsidRDefault="00542B4A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  <w:r w:rsidR="00924E0E" w:rsidRPr="00F56E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924E0E" w:rsidRPr="00F56EA0" w:rsidRDefault="00924E0E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Поступило</w:t>
            </w:r>
          </w:p>
          <w:p w:rsidR="00924E0E" w:rsidRPr="00F56EA0" w:rsidRDefault="00924E0E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в 201</w:t>
            </w:r>
            <w:r w:rsidR="005D55A3">
              <w:rPr>
                <w:sz w:val="20"/>
                <w:szCs w:val="20"/>
              </w:rPr>
              <w:t>3</w:t>
            </w:r>
          </w:p>
          <w:p w:rsidR="00924E0E" w:rsidRPr="00F56EA0" w:rsidRDefault="00924E0E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году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924E0E" w:rsidRPr="00F56EA0" w:rsidRDefault="00924E0E" w:rsidP="005D55A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201</w:t>
            </w:r>
            <w:r w:rsidR="005D55A3">
              <w:rPr>
                <w:sz w:val="20"/>
                <w:szCs w:val="20"/>
              </w:rPr>
              <w:t>4</w:t>
            </w:r>
            <w:r w:rsidRPr="00F56E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17" w:type="dxa"/>
            <w:gridSpan w:val="2"/>
            <w:shd w:val="clear" w:color="auto" w:fill="auto"/>
            <w:vAlign w:val="center"/>
          </w:tcPr>
          <w:p w:rsidR="00924E0E" w:rsidRPr="00F56EA0" w:rsidRDefault="00924E0E" w:rsidP="005D55A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к 201</w:t>
            </w:r>
            <w:r w:rsidR="005D55A3">
              <w:rPr>
                <w:sz w:val="20"/>
                <w:szCs w:val="20"/>
              </w:rPr>
              <w:t>3</w:t>
            </w:r>
            <w:r w:rsidRPr="00F56EA0">
              <w:rPr>
                <w:sz w:val="20"/>
                <w:szCs w:val="20"/>
              </w:rPr>
              <w:t xml:space="preserve"> году</w:t>
            </w:r>
          </w:p>
        </w:tc>
      </w:tr>
      <w:tr w:rsidR="00924E0E" w:rsidRPr="00F56EA0" w:rsidTr="00CD40C4">
        <w:tc>
          <w:tcPr>
            <w:tcW w:w="2988" w:type="dxa"/>
            <w:vMerge/>
            <w:shd w:val="clear" w:color="auto" w:fill="auto"/>
          </w:tcPr>
          <w:p w:rsidR="00924E0E" w:rsidRPr="00F56EA0" w:rsidRDefault="00924E0E" w:rsidP="00CD40C4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924E0E" w:rsidRPr="00F56EA0" w:rsidRDefault="00924E0E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924E0E" w:rsidRPr="00F56EA0" w:rsidRDefault="00924E0E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уточнён.</w:t>
            </w:r>
          </w:p>
          <w:p w:rsidR="00924E0E" w:rsidRPr="00F56EA0" w:rsidRDefault="00924E0E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план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4E0E" w:rsidRPr="00F56EA0" w:rsidRDefault="00924E0E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факт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24E0E" w:rsidRPr="00F56EA0" w:rsidRDefault="00924E0E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% исполн.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24E0E" w:rsidRPr="00F56EA0" w:rsidRDefault="00924E0E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сумма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24E0E" w:rsidRPr="00F56EA0" w:rsidRDefault="00924E0E" w:rsidP="00CD40C4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в %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1.Доходы от использования имущества, всего</w:t>
            </w:r>
          </w:p>
          <w:p w:rsidR="005D55A3" w:rsidRPr="00B57841" w:rsidRDefault="005D55A3" w:rsidP="00CD40C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57841">
              <w:rPr>
                <w:sz w:val="22"/>
                <w:szCs w:val="22"/>
              </w:rPr>
              <w:t>в том числе: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224 993,4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6E14A1" w:rsidP="00CD40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270 477,8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6E14A1" w:rsidP="006E14A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222 796,0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6E14A1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82,37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-2 197,4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99,02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1.1.Доходы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355,1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5D55A3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5D55A3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132128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-276,8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22,05</w:t>
            </w:r>
          </w:p>
        </w:tc>
      </w:tr>
      <w:tr w:rsidR="00132128" w:rsidRPr="00F56EA0" w:rsidTr="00B57841">
        <w:trPr>
          <w:trHeight w:val="2042"/>
        </w:trPr>
        <w:tc>
          <w:tcPr>
            <w:tcW w:w="2988" w:type="dxa"/>
            <w:shd w:val="clear" w:color="auto" w:fill="auto"/>
          </w:tcPr>
          <w:p w:rsidR="00132128" w:rsidRPr="00F56EA0" w:rsidRDefault="00132128" w:rsidP="00B57841">
            <w:pPr>
              <w:jc w:val="both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1.2.Доходы, получаемые в виде арендной платы за земельные участки, государств. собственность на которые не разграничена, а также средства от продажи права на заключение</w:t>
            </w:r>
            <w:r>
              <w:rPr>
                <w:sz w:val="22"/>
                <w:szCs w:val="22"/>
              </w:rPr>
              <w:t xml:space="preserve"> </w:t>
            </w:r>
            <w:r w:rsidRPr="00F56EA0">
              <w:rPr>
                <w:sz w:val="22"/>
                <w:szCs w:val="22"/>
              </w:rPr>
              <w:t xml:space="preserve">договоров аренды 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132128" w:rsidRPr="00F56EA0" w:rsidRDefault="00132128" w:rsidP="00E86C61">
            <w:pPr>
              <w:jc w:val="right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170 731,6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132128" w:rsidRPr="00F56EA0" w:rsidRDefault="00132128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218 389,4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32128" w:rsidRPr="00F56EA0" w:rsidRDefault="00132128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157 841,4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32128" w:rsidRPr="00F56EA0" w:rsidRDefault="00132128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32128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-12 890,2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32128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92,45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 xml:space="preserve">1.3.Доходы, получаемые в виде арендной платы, а также средства от продажи права на заключение договоров аренды за земли, находящиеся в собствен-ности городских округов 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9 315,1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12 259,2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13 439,3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132128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+4 124,2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144,27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 xml:space="preserve">1.4.Доходы от сдачи в аренду имущества, составляющего казну города 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37 200,8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34 989,2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41 299,0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132128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118,03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+4 098,2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111,01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1.5.Доходы от перечисления части прибыли МУПов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2 824,7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1 840,0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3 532,6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132128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191,99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+707,9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125,06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1.6.Прочие поступления от использования имущества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4 566,1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6 605,4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132128" w:rsidP="0013212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+2 039,3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144,66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2.Платежи при пользовании природными ресурсами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14 409,3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16 101,2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6 151,8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132128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38,21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-8 257,5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42,69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3.Доходы от оказания платных услуг (работ) и компенсации затрат государства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3 335,7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3 492,4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2 988,6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132128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85,57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-347,1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89,59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4.Доходы от продажи материальных и нематери-</w:t>
            </w:r>
          </w:p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альных активов, всего</w:t>
            </w:r>
          </w:p>
          <w:p w:rsidR="005D55A3" w:rsidRPr="00B57841" w:rsidRDefault="005D55A3" w:rsidP="00CD40C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57841">
              <w:rPr>
                <w:sz w:val="22"/>
                <w:szCs w:val="22"/>
              </w:rPr>
              <w:t>в том числе: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114 781,0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</w:t>
            </w:r>
            <w:r w:rsidR="0091548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87,7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132128" w:rsidP="00CD40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129 370,0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132128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191,13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+14 589,0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112,71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4.1.Доходы от продажи квартир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859,8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6E14A1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6E14A1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6E14A1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-362,4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57,85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4.2.Доходы о</w:t>
            </w:r>
            <w:r w:rsidR="00535A63">
              <w:rPr>
                <w:sz w:val="22"/>
                <w:szCs w:val="22"/>
              </w:rPr>
              <w:t>т</w:t>
            </w:r>
            <w:r w:rsidRPr="00F56EA0">
              <w:rPr>
                <w:sz w:val="22"/>
                <w:szCs w:val="22"/>
              </w:rPr>
              <w:t xml:space="preserve"> реализации муниципального имущества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22 512,5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6E14A1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6E14A1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24 574,3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6E14A1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204,79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+2 061,8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109,15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4.3.Доходы от продажи земельных участков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sz w:val="22"/>
                <w:szCs w:val="22"/>
              </w:rPr>
            </w:pPr>
            <w:r w:rsidRPr="00F56EA0">
              <w:rPr>
                <w:sz w:val="22"/>
                <w:szCs w:val="22"/>
              </w:rPr>
              <w:t>91 408,7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6E14A1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55 687,7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6E14A1" w:rsidP="00CD40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104 298,3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6E14A1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187,29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+12 889,6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5.Штрафы, санкции, возмещение ущерба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20 468,3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6E14A1" w:rsidP="00CD40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13 363,3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6E14A1" w:rsidP="00CD40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19 263,3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6E14A1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144,15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-1 205,0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94,11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CD40C4">
            <w:pPr>
              <w:tabs>
                <w:tab w:val="left" w:pos="1080"/>
              </w:tabs>
              <w:jc w:val="both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6.Прочие доходы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jc w:val="right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-0,7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6E14A1" w:rsidP="00CD40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6E14A1" w:rsidP="00CD40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2,9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6E14A1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+3,6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D55A3" w:rsidRPr="00F56EA0" w:rsidTr="00CD40C4">
        <w:tc>
          <w:tcPr>
            <w:tcW w:w="2988" w:type="dxa"/>
            <w:shd w:val="clear" w:color="auto" w:fill="auto"/>
          </w:tcPr>
          <w:p w:rsidR="005D55A3" w:rsidRPr="00F56EA0" w:rsidRDefault="005D55A3" w:rsidP="00B57841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t>Итого неналоговы</w:t>
            </w:r>
            <w:r w:rsidR="00B57841">
              <w:rPr>
                <w:b/>
                <w:sz w:val="22"/>
                <w:szCs w:val="22"/>
              </w:rPr>
              <w:t>е</w:t>
            </w:r>
            <w:r w:rsidRPr="00F56EA0">
              <w:rPr>
                <w:b/>
                <w:sz w:val="22"/>
                <w:szCs w:val="22"/>
              </w:rPr>
              <w:t xml:space="preserve"> </w:t>
            </w:r>
            <w:r w:rsidRPr="00F56EA0">
              <w:rPr>
                <w:b/>
                <w:sz w:val="22"/>
                <w:szCs w:val="22"/>
              </w:rPr>
              <w:lastRenderedPageBreak/>
              <w:t>доход</w:t>
            </w:r>
            <w:r w:rsidR="00B57841">
              <w:rPr>
                <w:b/>
                <w:sz w:val="22"/>
                <w:szCs w:val="22"/>
              </w:rPr>
              <w:t>ы</w:t>
            </w:r>
            <w:r w:rsidRPr="00F56EA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D55A3" w:rsidRPr="00F56EA0" w:rsidRDefault="005D55A3" w:rsidP="00E86C61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 w:rsidRPr="00F56EA0">
              <w:rPr>
                <w:b/>
                <w:sz w:val="22"/>
                <w:szCs w:val="22"/>
              </w:rPr>
              <w:lastRenderedPageBreak/>
              <w:t>377 987,0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D55A3" w:rsidRPr="00F56EA0" w:rsidRDefault="006E14A1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371 122,4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D55A3" w:rsidRPr="00F56EA0" w:rsidRDefault="006E14A1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380 572,6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D55A3" w:rsidRPr="00F56EA0" w:rsidRDefault="006E14A1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102,55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+2 585,6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55A3" w:rsidRPr="00F56EA0" w:rsidRDefault="00915485" w:rsidP="00CD40C4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100,68</w:t>
            </w:r>
          </w:p>
        </w:tc>
      </w:tr>
    </w:tbl>
    <w:p w:rsidR="00924E0E" w:rsidRPr="00571DBF" w:rsidRDefault="005475D6" w:rsidP="00924E0E">
      <w:pPr>
        <w:tabs>
          <w:tab w:val="left" w:pos="720"/>
        </w:tabs>
        <w:autoSpaceDE w:val="0"/>
        <w:autoSpaceDN w:val="0"/>
        <w:adjustRightInd w:val="0"/>
        <w:spacing w:before="6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</w:t>
      </w:r>
      <w:r w:rsidR="00924E0E" w:rsidRPr="00571DBF">
        <w:rPr>
          <w:sz w:val="27"/>
          <w:szCs w:val="27"/>
        </w:rPr>
        <w:t xml:space="preserve"> структуре неналоговых платежей </w:t>
      </w:r>
      <w:r>
        <w:rPr>
          <w:sz w:val="27"/>
          <w:szCs w:val="27"/>
        </w:rPr>
        <w:t>н</w:t>
      </w:r>
      <w:r w:rsidRPr="00571DBF">
        <w:rPr>
          <w:sz w:val="27"/>
          <w:szCs w:val="27"/>
        </w:rPr>
        <w:t xml:space="preserve">аибольший удельный вес </w:t>
      </w:r>
      <w:r w:rsidR="00924E0E" w:rsidRPr="00571DBF">
        <w:rPr>
          <w:sz w:val="27"/>
          <w:szCs w:val="27"/>
        </w:rPr>
        <w:t xml:space="preserve">занимают </w:t>
      </w:r>
      <w:r w:rsidRPr="005475D6">
        <w:rPr>
          <w:b/>
          <w:sz w:val="27"/>
          <w:szCs w:val="27"/>
        </w:rPr>
        <w:t>доходы</w:t>
      </w:r>
      <w:r w:rsidR="00924E0E" w:rsidRPr="005475D6">
        <w:rPr>
          <w:b/>
          <w:sz w:val="27"/>
          <w:szCs w:val="27"/>
        </w:rPr>
        <w:t xml:space="preserve"> от использования имущества, находящегося в государственно</w:t>
      </w:r>
      <w:r w:rsidRPr="005475D6">
        <w:rPr>
          <w:b/>
          <w:sz w:val="27"/>
          <w:szCs w:val="27"/>
        </w:rPr>
        <w:t>й и муниципальной собственности</w:t>
      </w:r>
      <w:r w:rsidR="00924E0E" w:rsidRPr="00571DBF">
        <w:rPr>
          <w:sz w:val="27"/>
          <w:szCs w:val="27"/>
        </w:rPr>
        <w:t xml:space="preserve"> (</w:t>
      </w:r>
      <w:r>
        <w:rPr>
          <w:sz w:val="27"/>
          <w:szCs w:val="27"/>
        </w:rPr>
        <w:t>58,54%), поступления которых составили 222 796,0 тыс.рублей (82,37% от плана), в том числе:</w:t>
      </w:r>
    </w:p>
    <w:p w:rsidR="00E8552B" w:rsidRDefault="005475D6" w:rsidP="005475D6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i/>
          <w:sz w:val="27"/>
          <w:szCs w:val="27"/>
        </w:rPr>
      </w:pPr>
      <w:r w:rsidRPr="005475D6">
        <w:rPr>
          <w:i/>
          <w:sz w:val="27"/>
          <w:szCs w:val="27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</w:t>
      </w:r>
      <w:r>
        <w:rPr>
          <w:i/>
          <w:sz w:val="27"/>
          <w:szCs w:val="27"/>
        </w:rPr>
        <w:t xml:space="preserve">нды указанных земельных участков. </w:t>
      </w:r>
    </w:p>
    <w:p w:rsidR="005475D6" w:rsidRPr="00571DBF" w:rsidRDefault="005475D6" w:rsidP="005475D6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571DBF">
        <w:rPr>
          <w:sz w:val="27"/>
          <w:szCs w:val="27"/>
        </w:rPr>
        <w:t>За 201</w:t>
      </w:r>
      <w:r>
        <w:rPr>
          <w:sz w:val="27"/>
          <w:szCs w:val="27"/>
        </w:rPr>
        <w:t>4</w:t>
      </w:r>
      <w:r w:rsidRPr="00571DBF">
        <w:rPr>
          <w:sz w:val="27"/>
          <w:szCs w:val="27"/>
        </w:rPr>
        <w:t xml:space="preserve"> год бюджетом города получено </w:t>
      </w:r>
      <w:r w:rsidR="00A847B7">
        <w:rPr>
          <w:sz w:val="27"/>
          <w:szCs w:val="27"/>
        </w:rPr>
        <w:t>157 841,4</w:t>
      </w:r>
      <w:r w:rsidRPr="00571DBF">
        <w:rPr>
          <w:sz w:val="27"/>
          <w:szCs w:val="27"/>
        </w:rPr>
        <w:t xml:space="preserve"> тыс.рублей, в том числе: </w:t>
      </w:r>
    </w:p>
    <w:p w:rsidR="005475D6" w:rsidRPr="00571DBF" w:rsidRDefault="005475D6" w:rsidP="00E8552B">
      <w:pPr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571DBF">
        <w:rPr>
          <w:sz w:val="27"/>
          <w:szCs w:val="27"/>
        </w:rPr>
        <w:t>текущие поступления 201</w:t>
      </w:r>
      <w:r w:rsidR="00A847B7">
        <w:rPr>
          <w:sz w:val="27"/>
          <w:szCs w:val="27"/>
        </w:rPr>
        <w:t>4</w:t>
      </w:r>
      <w:r w:rsidRPr="00571DBF">
        <w:rPr>
          <w:sz w:val="27"/>
          <w:szCs w:val="27"/>
        </w:rPr>
        <w:t xml:space="preserve"> года</w:t>
      </w:r>
      <w:r w:rsidRPr="00571DBF">
        <w:rPr>
          <w:sz w:val="27"/>
          <w:szCs w:val="27"/>
        </w:rPr>
        <w:tab/>
      </w:r>
      <w:r w:rsidRPr="00571DBF">
        <w:rPr>
          <w:sz w:val="27"/>
          <w:szCs w:val="27"/>
        </w:rPr>
        <w:tab/>
        <w:t xml:space="preserve">– </w:t>
      </w:r>
      <w:r w:rsidR="00A847B7">
        <w:rPr>
          <w:sz w:val="27"/>
          <w:szCs w:val="27"/>
        </w:rPr>
        <w:t>148 972,8</w:t>
      </w:r>
      <w:r w:rsidRPr="00571DBF">
        <w:rPr>
          <w:sz w:val="27"/>
          <w:szCs w:val="27"/>
        </w:rPr>
        <w:t xml:space="preserve"> тыс.рублей, </w:t>
      </w:r>
    </w:p>
    <w:p w:rsidR="005475D6" w:rsidRPr="00571DBF" w:rsidRDefault="005475D6" w:rsidP="00E8552B">
      <w:pPr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571DBF">
        <w:rPr>
          <w:sz w:val="27"/>
          <w:szCs w:val="27"/>
        </w:rPr>
        <w:t>оплата</w:t>
      </w:r>
      <w:r>
        <w:rPr>
          <w:sz w:val="27"/>
          <w:szCs w:val="27"/>
        </w:rPr>
        <w:t xml:space="preserve"> задолженности прошлых лет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571DBF">
        <w:rPr>
          <w:sz w:val="27"/>
          <w:szCs w:val="27"/>
        </w:rPr>
        <w:t>–</w:t>
      </w:r>
      <w:r>
        <w:rPr>
          <w:sz w:val="27"/>
          <w:szCs w:val="27"/>
        </w:rPr>
        <w:t xml:space="preserve">    </w:t>
      </w:r>
      <w:r w:rsidRPr="00571DBF">
        <w:rPr>
          <w:sz w:val="27"/>
          <w:szCs w:val="27"/>
        </w:rPr>
        <w:t xml:space="preserve"> </w:t>
      </w:r>
      <w:r w:rsidR="00A847B7">
        <w:rPr>
          <w:sz w:val="27"/>
          <w:szCs w:val="27"/>
        </w:rPr>
        <w:t>8 868,6</w:t>
      </w:r>
      <w:r w:rsidRPr="00571DBF">
        <w:rPr>
          <w:sz w:val="27"/>
          <w:szCs w:val="27"/>
        </w:rPr>
        <w:t xml:space="preserve"> тыс.рублей.</w:t>
      </w:r>
    </w:p>
    <w:p w:rsidR="00A847B7" w:rsidRDefault="00A847B7" w:rsidP="005475D6">
      <w:pPr>
        <w:tabs>
          <w:tab w:val="left" w:pos="720"/>
        </w:tabs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Неисполнение планового показателя составило 60 548,0 тыс.рублей, к уровню 2013 года объём поступивших доходов снизился на 12 890,2 тыс.рублей. Согласно Пояснительной записке невыполнение плана </w:t>
      </w:r>
      <w:r w:rsidR="008B23AC">
        <w:rPr>
          <w:sz w:val="27"/>
          <w:szCs w:val="27"/>
        </w:rPr>
        <w:t xml:space="preserve">в основном </w:t>
      </w:r>
      <w:r>
        <w:rPr>
          <w:sz w:val="27"/>
          <w:szCs w:val="27"/>
        </w:rPr>
        <w:t xml:space="preserve">связано с </w:t>
      </w:r>
      <w:r w:rsidR="008B23AC">
        <w:rPr>
          <w:sz w:val="27"/>
          <w:szCs w:val="27"/>
        </w:rPr>
        <w:t>непоступлением платежей в сумме 51 732,7 тыс.рублей от ООО «Лукойл-Ростовэнерго» (последнее оспаривает в Арбитражном суде правомерность применения ставки арендной платы за земельные участки). Кроме того, из-за отсутствия претендентов не состоялся запланированный аукцион по продаже права аренды земельного участка на сумму 10 344,0 тыс.рублей.</w:t>
      </w:r>
    </w:p>
    <w:p w:rsidR="00914D62" w:rsidRDefault="008B23AC" w:rsidP="00924E0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14EFD">
        <w:rPr>
          <w:sz w:val="27"/>
          <w:szCs w:val="27"/>
        </w:rPr>
        <w:t>По информации Ко</w:t>
      </w:r>
      <w:r w:rsidR="00914D62" w:rsidRPr="00D14EFD">
        <w:rPr>
          <w:sz w:val="27"/>
          <w:szCs w:val="27"/>
        </w:rPr>
        <w:t>м</w:t>
      </w:r>
      <w:r w:rsidR="00EA3DC5">
        <w:rPr>
          <w:sz w:val="27"/>
          <w:szCs w:val="27"/>
        </w:rPr>
        <w:t>итета по управлению имуществом</w:t>
      </w:r>
      <w:r w:rsidR="00914D62" w:rsidRPr="00D14EFD">
        <w:rPr>
          <w:sz w:val="27"/>
          <w:szCs w:val="27"/>
        </w:rPr>
        <w:t xml:space="preserve"> в рамках досудебной работы с арендаторами, имеющими задолженность, проведено 13 заседаний комиссии по контролю за поступлением в бюджет арендной платы за землю, на которых рассмотрена задолженность 86 арендаторов на сумму 18 298,7 тыс.рублей. По итогам работы комиссии в бюджет города в 2014 году поступило 9 309,2 тыс.рублей. </w:t>
      </w:r>
      <w:r w:rsidR="0035417B" w:rsidRPr="00D14EFD">
        <w:rPr>
          <w:sz w:val="27"/>
          <w:szCs w:val="27"/>
        </w:rPr>
        <w:t>В результате претензионно-исковой работы  в 2014 году поступило 40 922,6 тыс.рублей.</w:t>
      </w:r>
      <w:r w:rsidR="00CA5110">
        <w:rPr>
          <w:sz w:val="27"/>
          <w:szCs w:val="27"/>
        </w:rPr>
        <w:t xml:space="preserve"> </w:t>
      </w:r>
    </w:p>
    <w:p w:rsidR="005475D6" w:rsidRDefault="00D14EFD" w:rsidP="00924E0E">
      <w:pPr>
        <w:autoSpaceDE w:val="0"/>
        <w:autoSpaceDN w:val="0"/>
        <w:adjustRightInd w:val="0"/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В то же время</w:t>
      </w:r>
      <w:r w:rsidR="00914D62">
        <w:rPr>
          <w:sz w:val="27"/>
          <w:szCs w:val="27"/>
        </w:rPr>
        <w:t xml:space="preserve"> </w:t>
      </w:r>
      <w:r w:rsidR="00914D62" w:rsidRPr="00571DBF">
        <w:rPr>
          <w:sz w:val="27"/>
          <w:szCs w:val="27"/>
        </w:rPr>
        <w:t>сумма задолженности по арендной плате за земельные участки, государственная собственность на которые не разграничена, за 201</w:t>
      </w:r>
      <w:r w:rsidR="00914D62">
        <w:rPr>
          <w:sz w:val="27"/>
          <w:szCs w:val="27"/>
        </w:rPr>
        <w:t>4</w:t>
      </w:r>
      <w:r w:rsidR="00914D62" w:rsidRPr="00571DBF">
        <w:rPr>
          <w:sz w:val="27"/>
          <w:szCs w:val="27"/>
        </w:rPr>
        <w:t xml:space="preserve"> год </w:t>
      </w:r>
      <w:r w:rsidR="00914D62">
        <w:rPr>
          <w:sz w:val="27"/>
          <w:szCs w:val="27"/>
        </w:rPr>
        <w:t>увеличилась</w:t>
      </w:r>
      <w:r w:rsidR="00914D62" w:rsidRPr="00571DBF">
        <w:rPr>
          <w:sz w:val="27"/>
          <w:szCs w:val="27"/>
        </w:rPr>
        <w:t xml:space="preserve"> на </w:t>
      </w:r>
      <w:r w:rsidR="00914D62">
        <w:rPr>
          <w:sz w:val="27"/>
          <w:szCs w:val="27"/>
        </w:rPr>
        <w:t>6 255,6</w:t>
      </w:r>
      <w:r w:rsidR="00914D62" w:rsidRPr="00571DBF">
        <w:rPr>
          <w:sz w:val="27"/>
          <w:szCs w:val="27"/>
        </w:rPr>
        <w:t xml:space="preserve"> тыс.рублей и по состоянию на 01.01.201</w:t>
      </w:r>
      <w:r w:rsidR="00914D62">
        <w:rPr>
          <w:sz w:val="27"/>
          <w:szCs w:val="27"/>
        </w:rPr>
        <w:t>5</w:t>
      </w:r>
      <w:r w:rsidR="00914D62" w:rsidRPr="00571DBF">
        <w:rPr>
          <w:sz w:val="27"/>
          <w:szCs w:val="27"/>
        </w:rPr>
        <w:t xml:space="preserve">г составила </w:t>
      </w:r>
      <w:r w:rsidR="00914D62">
        <w:rPr>
          <w:sz w:val="27"/>
          <w:szCs w:val="27"/>
        </w:rPr>
        <w:t>29 928,7</w:t>
      </w:r>
      <w:r w:rsidR="00914D62" w:rsidRPr="00571DBF">
        <w:rPr>
          <w:sz w:val="27"/>
          <w:szCs w:val="27"/>
        </w:rPr>
        <w:t xml:space="preserve"> тыс.рублей (в том числе возможная ко взысканию – </w:t>
      </w:r>
      <w:r w:rsidR="00914D62">
        <w:rPr>
          <w:sz w:val="27"/>
          <w:szCs w:val="27"/>
        </w:rPr>
        <w:t>22 074,7</w:t>
      </w:r>
      <w:r w:rsidR="00914D62" w:rsidRPr="00571DBF">
        <w:rPr>
          <w:sz w:val="27"/>
          <w:szCs w:val="27"/>
        </w:rPr>
        <w:t xml:space="preserve"> тыс.рублей</w:t>
      </w:r>
      <w:r w:rsidR="00914D62">
        <w:rPr>
          <w:sz w:val="27"/>
          <w:szCs w:val="27"/>
        </w:rPr>
        <w:t>)</w:t>
      </w:r>
      <w:r w:rsidR="00CA5110">
        <w:rPr>
          <w:sz w:val="27"/>
          <w:szCs w:val="27"/>
        </w:rPr>
        <w:t>, что свидетельствует о недостаточности принятых мер;</w:t>
      </w:r>
    </w:p>
    <w:p w:rsidR="00CA5110" w:rsidRDefault="00CA5110" w:rsidP="00CA511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A5110">
        <w:rPr>
          <w:i/>
          <w:sz w:val="27"/>
          <w:szCs w:val="27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</w:t>
      </w:r>
      <w:r>
        <w:rPr>
          <w:sz w:val="27"/>
          <w:szCs w:val="27"/>
        </w:rPr>
        <w:t>, поступили</w:t>
      </w:r>
      <w:r w:rsidRPr="00CA5110">
        <w:rPr>
          <w:sz w:val="27"/>
          <w:szCs w:val="27"/>
        </w:rPr>
        <w:t xml:space="preserve"> </w:t>
      </w:r>
      <w:r>
        <w:rPr>
          <w:sz w:val="27"/>
          <w:szCs w:val="27"/>
        </w:rPr>
        <w:t>в сумме 13 439,3 тыс.рублей,</w:t>
      </w:r>
      <w:r w:rsidR="0040591E">
        <w:rPr>
          <w:sz w:val="27"/>
          <w:szCs w:val="27"/>
        </w:rPr>
        <w:t xml:space="preserve"> из них: текущие поступления – 13 153,7 тыс.рублей, задолженность прошлых лет – 285,6 тыс.рублей. П</w:t>
      </w:r>
      <w:r>
        <w:rPr>
          <w:sz w:val="27"/>
          <w:szCs w:val="27"/>
        </w:rPr>
        <w:t xml:space="preserve">еревыполнение планового показателя составило 1 180,1 тыс.рублей или 9,63%, уровень поступлений 2013 года превышен на 4 124,2 тыс.рублей. Задолженность по арендной плате </w:t>
      </w:r>
      <w:r w:rsidR="00905231">
        <w:rPr>
          <w:sz w:val="27"/>
          <w:szCs w:val="27"/>
        </w:rPr>
        <w:t xml:space="preserve">по состоянию на </w:t>
      </w:r>
      <w:r>
        <w:rPr>
          <w:sz w:val="27"/>
          <w:szCs w:val="27"/>
        </w:rPr>
        <w:t xml:space="preserve">01.01.2015г. </w:t>
      </w:r>
      <w:r w:rsidR="00EA3DC5">
        <w:rPr>
          <w:sz w:val="27"/>
          <w:szCs w:val="27"/>
        </w:rPr>
        <w:t xml:space="preserve">составила </w:t>
      </w:r>
      <w:r>
        <w:rPr>
          <w:sz w:val="27"/>
          <w:szCs w:val="27"/>
        </w:rPr>
        <w:t>1 563,7 тыс.рублей (рост в течение 2014 года на 531,0 тыс.рублей);</w:t>
      </w:r>
    </w:p>
    <w:p w:rsidR="00905231" w:rsidRDefault="00905231" w:rsidP="009052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5231">
        <w:rPr>
          <w:sz w:val="27"/>
          <w:szCs w:val="27"/>
        </w:rPr>
        <w:t xml:space="preserve">поступление </w:t>
      </w:r>
      <w:r w:rsidRPr="00905231">
        <w:rPr>
          <w:i/>
          <w:sz w:val="27"/>
          <w:szCs w:val="27"/>
        </w:rPr>
        <w:t>доход</w:t>
      </w:r>
      <w:r>
        <w:rPr>
          <w:i/>
          <w:sz w:val="27"/>
          <w:szCs w:val="27"/>
        </w:rPr>
        <w:t>ов</w:t>
      </w:r>
      <w:r w:rsidRPr="00905231">
        <w:rPr>
          <w:i/>
          <w:sz w:val="27"/>
          <w:szCs w:val="27"/>
        </w:rPr>
        <w:t xml:space="preserve"> от сдачи в аренду имущества, составляющего казну города</w:t>
      </w:r>
      <w:r>
        <w:rPr>
          <w:i/>
          <w:sz w:val="27"/>
          <w:szCs w:val="27"/>
        </w:rPr>
        <w:t xml:space="preserve">, </w:t>
      </w:r>
      <w:r w:rsidRPr="00905231">
        <w:rPr>
          <w:sz w:val="27"/>
          <w:szCs w:val="27"/>
        </w:rPr>
        <w:t xml:space="preserve">сложилось в сумме </w:t>
      </w:r>
      <w:r>
        <w:rPr>
          <w:sz w:val="27"/>
          <w:szCs w:val="27"/>
        </w:rPr>
        <w:t>41 299,0 тыс.рублей</w:t>
      </w:r>
      <w:r w:rsidR="0040591E">
        <w:rPr>
          <w:sz w:val="27"/>
          <w:szCs w:val="27"/>
        </w:rPr>
        <w:t>, в том числе задолженность прошлых лет в сумме 224,5 тыс.рублей. Сверх планового показателя в местный бюджет поступило 6 309,8 тыс.рублей (</w:t>
      </w:r>
      <w:r w:rsidR="00A23396">
        <w:rPr>
          <w:sz w:val="27"/>
          <w:szCs w:val="27"/>
        </w:rPr>
        <w:t>+</w:t>
      </w:r>
      <w:r w:rsidR="0040591E">
        <w:rPr>
          <w:sz w:val="27"/>
          <w:szCs w:val="27"/>
        </w:rPr>
        <w:t xml:space="preserve">18,03% </w:t>
      </w:r>
      <w:r w:rsidR="00A23396">
        <w:rPr>
          <w:sz w:val="27"/>
          <w:szCs w:val="27"/>
        </w:rPr>
        <w:t xml:space="preserve">к </w:t>
      </w:r>
      <w:r w:rsidR="0040591E">
        <w:rPr>
          <w:sz w:val="27"/>
          <w:szCs w:val="27"/>
        </w:rPr>
        <w:t>план</w:t>
      </w:r>
      <w:r w:rsidR="00A23396">
        <w:rPr>
          <w:sz w:val="27"/>
          <w:szCs w:val="27"/>
        </w:rPr>
        <w:t>у</w:t>
      </w:r>
      <w:r w:rsidR="0040591E">
        <w:rPr>
          <w:sz w:val="27"/>
          <w:szCs w:val="27"/>
        </w:rPr>
        <w:t>), что связано с увеличением размера арендной платы, устанавливаемой на основании её рыночной стоимости и определённой по результатам аукционов по продаже права на заключение договоров аренды муниципального имущества</w:t>
      </w:r>
      <w:r w:rsidR="00A23396">
        <w:rPr>
          <w:sz w:val="27"/>
          <w:szCs w:val="27"/>
        </w:rPr>
        <w:t>.</w:t>
      </w:r>
    </w:p>
    <w:p w:rsidR="00A23396" w:rsidRPr="00905231" w:rsidRDefault="004A7F99" w:rsidP="0090523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По данным Комитета по управлению имуществом с</w:t>
      </w:r>
      <w:r w:rsidR="00A23396">
        <w:rPr>
          <w:sz w:val="27"/>
          <w:szCs w:val="27"/>
        </w:rPr>
        <w:t xml:space="preserve">умма задолженности по арендной плате в течение 2014 года незначительно сократилась (на 364,4 тыс.рублей) и по состоянию на 01.01.2015г. с учётом переплаты </w:t>
      </w:r>
      <w:r w:rsidR="005F0E99">
        <w:rPr>
          <w:sz w:val="27"/>
          <w:szCs w:val="27"/>
        </w:rPr>
        <w:t xml:space="preserve">составила </w:t>
      </w:r>
      <w:r w:rsidR="00A23396">
        <w:rPr>
          <w:sz w:val="27"/>
          <w:szCs w:val="27"/>
        </w:rPr>
        <w:t>6 415,7 тыс.рублей, в том числ</w:t>
      </w:r>
      <w:r w:rsidR="00C7608E">
        <w:rPr>
          <w:sz w:val="27"/>
          <w:szCs w:val="27"/>
        </w:rPr>
        <w:t>е во</w:t>
      </w:r>
      <w:r w:rsidR="00A23396">
        <w:rPr>
          <w:sz w:val="27"/>
          <w:szCs w:val="27"/>
        </w:rPr>
        <w:t>зможная</w:t>
      </w:r>
      <w:r w:rsidR="00C7608E">
        <w:rPr>
          <w:sz w:val="27"/>
          <w:szCs w:val="27"/>
        </w:rPr>
        <w:t xml:space="preserve"> к взысканию – 249,3 тыс.рублей</w:t>
      </w:r>
      <w:r w:rsidR="00EA3DC5">
        <w:rPr>
          <w:sz w:val="27"/>
          <w:szCs w:val="27"/>
        </w:rPr>
        <w:t>;</w:t>
      </w:r>
    </w:p>
    <w:p w:rsidR="00E86C61" w:rsidRDefault="00E86C61" w:rsidP="00E86C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6C61">
        <w:rPr>
          <w:i/>
          <w:sz w:val="27"/>
          <w:szCs w:val="27"/>
        </w:rPr>
        <w:t>доходы от перечисления части прибыли муниципальных унитарных предприятий, остающейся после уплаты налогов и иных обязательных платежей</w:t>
      </w:r>
      <w:r w:rsidR="00EA3DC5">
        <w:rPr>
          <w:i/>
          <w:sz w:val="27"/>
          <w:szCs w:val="27"/>
        </w:rPr>
        <w:t>,</w:t>
      </w:r>
      <w:r w:rsidRPr="00E86C61">
        <w:rPr>
          <w:i/>
          <w:sz w:val="27"/>
          <w:szCs w:val="27"/>
        </w:rPr>
        <w:t xml:space="preserve"> </w:t>
      </w:r>
      <w:r w:rsidRPr="00E86C61">
        <w:rPr>
          <w:sz w:val="27"/>
          <w:szCs w:val="27"/>
        </w:rPr>
        <w:t>пос</w:t>
      </w:r>
      <w:r>
        <w:rPr>
          <w:sz w:val="27"/>
          <w:szCs w:val="27"/>
        </w:rPr>
        <w:t>т</w:t>
      </w:r>
      <w:r w:rsidRPr="00E86C61">
        <w:rPr>
          <w:sz w:val="27"/>
          <w:szCs w:val="27"/>
        </w:rPr>
        <w:t>упили</w:t>
      </w:r>
      <w:r>
        <w:rPr>
          <w:sz w:val="27"/>
          <w:szCs w:val="27"/>
        </w:rPr>
        <w:t xml:space="preserve"> в сумме 3 532,6 тыс.рублей</w:t>
      </w:r>
      <w:r w:rsidR="00104D0C">
        <w:rPr>
          <w:sz w:val="27"/>
          <w:szCs w:val="27"/>
        </w:rPr>
        <w:t xml:space="preserve">. План выполнен на 191,99%, к 2013 году рост составил 125,06%. Перечисления произведены тремя муниципальными </w:t>
      </w:r>
      <w:r w:rsidR="00305E18">
        <w:rPr>
          <w:sz w:val="27"/>
          <w:szCs w:val="27"/>
        </w:rPr>
        <w:t xml:space="preserve">унитарными </w:t>
      </w:r>
      <w:r w:rsidR="00104D0C">
        <w:rPr>
          <w:sz w:val="27"/>
          <w:szCs w:val="27"/>
        </w:rPr>
        <w:t>предприятиями</w:t>
      </w:r>
      <w:r w:rsidR="00305E18">
        <w:rPr>
          <w:sz w:val="27"/>
          <w:szCs w:val="27"/>
        </w:rPr>
        <w:t xml:space="preserve"> (далее МУП)</w:t>
      </w:r>
      <w:r w:rsidR="00104D0C">
        <w:rPr>
          <w:sz w:val="27"/>
          <w:szCs w:val="27"/>
        </w:rPr>
        <w:t>. Наибольший объём поступлений обеспечило МУП «Волгодонская городская электрическая сеть»</w:t>
      </w:r>
      <w:r w:rsidR="00EA3DC5">
        <w:rPr>
          <w:sz w:val="27"/>
          <w:szCs w:val="27"/>
        </w:rPr>
        <w:t xml:space="preserve"> –</w:t>
      </w:r>
      <w:r w:rsidR="00104D0C">
        <w:rPr>
          <w:sz w:val="27"/>
          <w:szCs w:val="27"/>
        </w:rPr>
        <w:t xml:space="preserve"> 3 246,4 тыс.рублей (</w:t>
      </w:r>
      <w:r w:rsidR="004A7F99">
        <w:rPr>
          <w:sz w:val="27"/>
          <w:szCs w:val="27"/>
        </w:rPr>
        <w:t>91,89% общего объёма перечислений), в том числе:</w:t>
      </w:r>
    </w:p>
    <w:p w:rsidR="004A7F99" w:rsidRDefault="004A7F99" w:rsidP="00305E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>
        <w:rPr>
          <w:sz w:val="27"/>
          <w:szCs w:val="27"/>
        </w:rPr>
        <w:tab/>
        <w:t>отчисления от прибыли за 2013 год – 42,9 тыс. рублей (в 2013 году – 622,0 тыс.рублей);</w:t>
      </w:r>
    </w:p>
    <w:p w:rsidR="004A7F99" w:rsidRDefault="004A7F99" w:rsidP="00305E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-</w:t>
      </w:r>
      <w:r>
        <w:rPr>
          <w:sz w:val="27"/>
          <w:szCs w:val="27"/>
        </w:rPr>
        <w:tab/>
      </w:r>
      <w:r w:rsidRPr="004A7F99">
        <w:rPr>
          <w:sz w:val="28"/>
          <w:szCs w:val="28"/>
        </w:rPr>
        <w:t xml:space="preserve">погашение задолженности, выявленной в 2012 году в ходе контрольного мероприятия </w:t>
      </w:r>
      <w:r>
        <w:rPr>
          <w:sz w:val="28"/>
          <w:szCs w:val="28"/>
        </w:rPr>
        <w:t>Палаты – 1 500,</w:t>
      </w:r>
      <w:r w:rsidR="00305E18">
        <w:rPr>
          <w:sz w:val="28"/>
          <w:szCs w:val="28"/>
        </w:rPr>
        <w:t>0 тыс.рублей (</w:t>
      </w:r>
      <w:r>
        <w:rPr>
          <w:sz w:val="28"/>
          <w:szCs w:val="28"/>
        </w:rPr>
        <w:t>в 2013 году – 1 000,0 тыс.рублей);</w:t>
      </w:r>
    </w:p>
    <w:p w:rsidR="004A7F99" w:rsidRPr="00305E18" w:rsidRDefault="00305E18" w:rsidP="00305E18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05E18">
        <w:rPr>
          <w:sz w:val="28"/>
          <w:szCs w:val="28"/>
        </w:rPr>
        <w:tab/>
      </w:r>
      <w:r w:rsidR="004A7F99" w:rsidRPr="00305E18">
        <w:rPr>
          <w:sz w:val="28"/>
          <w:szCs w:val="28"/>
        </w:rPr>
        <w:t>-</w:t>
      </w:r>
      <w:r w:rsidR="004A7F99" w:rsidRPr="00305E18">
        <w:rPr>
          <w:sz w:val="28"/>
          <w:szCs w:val="28"/>
        </w:rPr>
        <w:tab/>
      </w:r>
      <w:r w:rsidR="00EA3DC5">
        <w:rPr>
          <w:sz w:val="28"/>
          <w:szCs w:val="28"/>
        </w:rPr>
        <w:t xml:space="preserve">от прибыли, приходящейся на </w:t>
      </w:r>
      <w:r w:rsidR="004A7F99" w:rsidRPr="00305E18">
        <w:rPr>
          <w:rFonts w:eastAsia="Calibri"/>
          <w:sz w:val="28"/>
          <w:szCs w:val="28"/>
        </w:rPr>
        <w:t>дол</w:t>
      </w:r>
      <w:r w:rsidR="00EA3DC5">
        <w:rPr>
          <w:rFonts w:eastAsia="Calibri"/>
          <w:sz w:val="28"/>
          <w:szCs w:val="28"/>
        </w:rPr>
        <w:t>ю</w:t>
      </w:r>
      <w:r w:rsidR="004A7F99" w:rsidRPr="00305E18">
        <w:rPr>
          <w:rFonts w:eastAsia="Calibri"/>
          <w:sz w:val="28"/>
          <w:szCs w:val="28"/>
        </w:rPr>
        <w:t xml:space="preserve"> участия в </w:t>
      </w:r>
      <w:r>
        <w:rPr>
          <w:rFonts w:eastAsia="Calibri"/>
          <w:sz w:val="28"/>
          <w:szCs w:val="28"/>
        </w:rPr>
        <w:t>обществе с ограниченной ответственностью</w:t>
      </w:r>
      <w:r w:rsidR="00535A63">
        <w:rPr>
          <w:rFonts w:eastAsia="Calibri"/>
          <w:sz w:val="28"/>
          <w:szCs w:val="28"/>
        </w:rPr>
        <w:t xml:space="preserve"> (далее ООО)</w:t>
      </w:r>
      <w:r w:rsidR="004A7F99" w:rsidRPr="00305E18">
        <w:rPr>
          <w:rFonts w:eastAsia="Calibri"/>
          <w:sz w:val="28"/>
          <w:szCs w:val="28"/>
        </w:rPr>
        <w:t xml:space="preserve"> «Электросбыт»</w:t>
      </w:r>
      <w:r>
        <w:rPr>
          <w:rFonts w:eastAsia="Calibri"/>
          <w:sz w:val="28"/>
          <w:szCs w:val="28"/>
        </w:rPr>
        <w:t xml:space="preserve"> за 2013г.</w:t>
      </w:r>
      <w:r w:rsidR="00EA3DC5">
        <w:rPr>
          <w:rFonts w:eastAsia="Calibri"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1 полугодие 2014г. – 1 703,5 тыс.рублей </w:t>
      </w:r>
      <w:r>
        <w:rPr>
          <w:sz w:val="28"/>
          <w:szCs w:val="28"/>
        </w:rPr>
        <w:t>(в 2013 году – 993,3 тыс.рублей).</w:t>
      </w:r>
    </w:p>
    <w:p w:rsidR="00E86C61" w:rsidRPr="00305E18" w:rsidRDefault="00305E18" w:rsidP="00E86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МУП «Водопроводно-канализационное хозяйство» перечислило в бюджет 226,3 тыс.рублей, МУП «Квартира»</w:t>
      </w:r>
      <w:r w:rsidR="00B3508C">
        <w:rPr>
          <w:sz w:val="28"/>
          <w:szCs w:val="28"/>
        </w:rPr>
        <w:t xml:space="preserve"> – </w:t>
      </w:r>
      <w:r>
        <w:rPr>
          <w:sz w:val="28"/>
          <w:szCs w:val="28"/>
        </w:rPr>
        <w:t>59,9 тыс.рублей.</w:t>
      </w:r>
    </w:p>
    <w:p w:rsidR="00E86C61" w:rsidRPr="00E86C61" w:rsidRDefault="00B3508C" w:rsidP="00E86C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Следует отметить, что контрольные мероприятия, проведённые Палатой как в 2014 году, так и в предыдущие годы, показали, что допускаемые </w:t>
      </w:r>
      <w:r w:rsidR="00EA3DC5">
        <w:rPr>
          <w:sz w:val="27"/>
          <w:szCs w:val="27"/>
        </w:rPr>
        <w:t>унитарными предприятиями</w:t>
      </w:r>
      <w:r>
        <w:rPr>
          <w:sz w:val="27"/>
          <w:szCs w:val="27"/>
        </w:rPr>
        <w:t xml:space="preserve"> нарушения при использовании муниципального имущества, а также при ос</w:t>
      </w:r>
      <w:r w:rsidR="00E8552B">
        <w:rPr>
          <w:sz w:val="27"/>
          <w:szCs w:val="27"/>
        </w:rPr>
        <w:t>уществлении бухгалтерского учёт</w:t>
      </w:r>
      <w:r w:rsidR="00EA3DC5">
        <w:rPr>
          <w:sz w:val="27"/>
          <w:szCs w:val="27"/>
        </w:rPr>
        <w:t>а</w:t>
      </w:r>
      <w:r>
        <w:rPr>
          <w:sz w:val="27"/>
          <w:szCs w:val="27"/>
        </w:rPr>
        <w:t xml:space="preserve"> оказывают отрицательное влияние на финансовые результаты их деятельности и, как следствие, на размер отчислений в бюджет города</w:t>
      </w:r>
      <w:r w:rsidR="00EA3DC5">
        <w:rPr>
          <w:sz w:val="27"/>
          <w:szCs w:val="27"/>
        </w:rPr>
        <w:t>;</w:t>
      </w:r>
    </w:p>
    <w:p w:rsidR="00924E0E" w:rsidRPr="007004E4" w:rsidRDefault="00EA3DC5" w:rsidP="00924E0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B3508C" w:rsidRPr="00B3508C">
        <w:rPr>
          <w:sz w:val="27"/>
          <w:szCs w:val="27"/>
        </w:rPr>
        <w:t>ополнительно в местный бюджет поступили</w:t>
      </w:r>
      <w:r w:rsidR="00B3508C">
        <w:rPr>
          <w:i/>
          <w:sz w:val="27"/>
          <w:szCs w:val="27"/>
        </w:rPr>
        <w:t xml:space="preserve"> </w:t>
      </w:r>
      <w:r w:rsidR="00B3508C" w:rsidRPr="00B3508C">
        <w:rPr>
          <w:sz w:val="27"/>
          <w:szCs w:val="27"/>
        </w:rPr>
        <w:t xml:space="preserve">незапланированные </w:t>
      </w:r>
      <w:r w:rsidR="00924E0E" w:rsidRPr="00B3508C">
        <w:rPr>
          <w:i/>
          <w:sz w:val="27"/>
          <w:szCs w:val="27"/>
        </w:rPr>
        <w:t xml:space="preserve">доходы в виде дивидендов по акциям, </w:t>
      </w:r>
      <w:r w:rsidR="00B3508C">
        <w:rPr>
          <w:i/>
          <w:sz w:val="27"/>
          <w:szCs w:val="27"/>
        </w:rPr>
        <w:t xml:space="preserve">принадлежащим городским округам, </w:t>
      </w:r>
      <w:r w:rsidR="00B3508C" w:rsidRPr="007004E4">
        <w:rPr>
          <w:sz w:val="27"/>
          <w:szCs w:val="27"/>
        </w:rPr>
        <w:t xml:space="preserve">в сумме 78,3 тыс.рублей, из них </w:t>
      </w:r>
      <w:r w:rsidR="007004E4" w:rsidRPr="007004E4">
        <w:rPr>
          <w:sz w:val="27"/>
          <w:szCs w:val="27"/>
        </w:rPr>
        <w:t>по акциям открытого акц</w:t>
      </w:r>
      <w:r>
        <w:rPr>
          <w:sz w:val="27"/>
          <w:szCs w:val="27"/>
        </w:rPr>
        <w:t>ионерного общества «Волгодонскм</w:t>
      </w:r>
      <w:r w:rsidR="007004E4" w:rsidRPr="007004E4">
        <w:rPr>
          <w:sz w:val="27"/>
          <w:szCs w:val="27"/>
        </w:rPr>
        <w:t>ежрайгаз»</w:t>
      </w:r>
      <w:r w:rsidR="007004E4">
        <w:rPr>
          <w:sz w:val="27"/>
          <w:szCs w:val="27"/>
        </w:rPr>
        <w:t xml:space="preserve"> – 78,2 тыс.рублей</w:t>
      </w:r>
      <w:r>
        <w:rPr>
          <w:sz w:val="27"/>
          <w:szCs w:val="27"/>
        </w:rPr>
        <w:t>;</w:t>
      </w:r>
    </w:p>
    <w:p w:rsidR="00924E0E" w:rsidRPr="007004E4" w:rsidRDefault="00924E0E" w:rsidP="00924E0E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7004E4">
        <w:rPr>
          <w:i/>
          <w:sz w:val="27"/>
          <w:szCs w:val="27"/>
        </w:rPr>
        <w:t>прочие поступления от использования имущества</w:t>
      </w:r>
    </w:p>
    <w:p w:rsidR="00924E0E" w:rsidRPr="00571DBF" w:rsidRDefault="00924E0E" w:rsidP="00A3479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плане </w:t>
      </w:r>
      <w:r w:rsidR="00E8552B">
        <w:rPr>
          <w:sz w:val="27"/>
          <w:szCs w:val="27"/>
        </w:rPr>
        <w:t>3 000,0</w:t>
      </w:r>
      <w:r w:rsidRPr="00571DBF">
        <w:rPr>
          <w:sz w:val="27"/>
          <w:szCs w:val="27"/>
        </w:rPr>
        <w:t xml:space="preserve"> тыс.рублей объём фактических поступлений составил </w:t>
      </w:r>
      <w:r w:rsidR="00E8552B">
        <w:rPr>
          <w:sz w:val="27"/>
          <w:szCs w:val="27"/>
        </w:rPr>
        <w:t xml:space="preserve">6 605,4 тыс.рублей (в 2013 году – </w:t>
      </w:r>
      <w:r w:rsidRPr="00571DBF">
        <w:rPr>
          <w:sz w:val="27"/>
          <w:szCs w:val="27"/>
        </w:rPr>
        <w:t>4 566,1 тыс.рублей</w:t>
      </w:r>
      <w:r w:rsidR="00E8552B">
        <w:rPr>
          <w:sz w:val="27"/>
          <w:szCs w:val="27"/>
        </w:rPr>
        <w:t>)</w:t>
      </w:r>
      <w:r w:rsidRPr="00571DBF">
        <w:rPr>
          <w:sz w:val="27"/>
          <w:szCs w:val="27"/>
        </w:rPr>
        <w:t xml:space="preserve">. Сверхплановые доходы в сумме </w:t>
      </w:r>
      <w:r w:rsidR="00E8552B">
        <w:rPr>
          <w:sz w:val="27"/>
          <w:szCs w:val="27"/>
        </w:rPr>
        <w:t xml:space="preserve">3 605,4 </w:t>
      </w:r>
      <w:r w:rsidRPr="00571DBF">
        <w:rPr>
          <w:sz w:val="27"/>
          <w:szCs w:val="27"/>
        </w:rPr>
        <w:t xml:space="preserve">тыс.рублей обусловлены </w:t>
      </w:r>
      <w:r w:rsidR="00E8552B">
        <w:rPr>
          <w:sz w:val="27"/>
          <w:szCs w:val="27"/>
        </w:rPr>
        <w:t>проведением</w:t>
      </w:r>
      <w:r w:rsidR="00E8552B" w:rsidRPr="00571DBF">
        <w:rPr>
          <w:sz w:val="27"/>
          <w:szCs w:val="27"/>
        </w:rPr>
        <w:t xml:space="preserve"> торгов </w:t>
      </w:r>
      <w:r w:rsidR="00E8552B">
        <w:rPr>
          <w:sz w:val="27"/>
          <w:szCs w:val="27"/>
        </w:rPr>
        <w:t>на право</w:t>
      </w:r>
      <w:r w:rsidR="00E8552B" w:rsidRPr="00571DBF">
        <w:rPr>
          <w:sz w:val="27"/>
          <w:szCs w:val="27"/>
        </w:rPr>
        <w:t xml:space="preserve"> заключени</w:t>
      </w:r>
      <w:r w:rsidR="00E8552B">
        <w:rPr>
          <w:sz w:val="27"/>
          <w:szCs w:val="27"/>
        </w:rPr>
        <w:t>я</w:t>
      </w:r>
      <w:r w:rsidR="00E8552B" w:rsidRPr="00571DBF">
        <w:rPr>
          <w:sz w:val="27"/>
          <w:szCs w:val="27"/>
        </w:rPr>
        <w:t xml:space="preserve"> договоров на установку и эксплуатацию рекламных конструкций на основании оценки рыночной стоимости права</w:t>
      </w:r>
      <w:r w:rsidR="00EA3DC5">
        <w:rPr>
          <w:sz w:val="27"/>
          <w:szCs w:val="27"/>
        </w:rPr>
        <w:t>.</w:t>
      </w:r>
      <w:r w:rsidR="00E8552B" w:rsidRPr="00571DBF">
        <w:rPr>
          <w:sz w:val="27"/>
          <w:szCs w:val="27"/>
        </w:rPr>
        <w:t xml:space="preserve"> </w:t>
      </w:r>
      <w:r w:rsidR="0035417B">
        <w:rPr>
          <w:sz w:val="27"/>
          <w:szCs w:val="27"/>
        </w:rPr>
        <w:t xml:space="preserve">Заявленная победителями цена значительно превышала </w:t>
      </w:r>
      <w:r w:rsidR="00EA3DC5">
        <w:rPr>
          <w:sz w:val="27"/>
          <w:szCs w:val="27"/>
        </w:rPr>
        <w:t>первоначально установленную</w:t>
      </w:r>
      <w:r w:rsidR="0035417B">
        <w:rPr>
          <w:sz w:val="27"/>
          <w:szCs w:val="27"/>
        </w:rPr>
        <w:t xml:space="preserve">. </w:t>
      </w:r>
      <w:r w:rsidR="00E8552B">
        <w:rPr>
          <w:sz w:val="27"/>
          <w:szCs w:val="27"/>
        </w:rPr>
        <w:t>Кроме того, начисление оплаты за фактическое использование рекламных конструкций, сроки договорных отношений по которым заканчивались в 2014 году, производилось</w:t>
      </w:r>
      <w:r w:rsidRPr="00571DBF">
        <w:rPr>
          <w:sz w:val="27"/>
          <w:szCs w:val="27"/>
        </w:rPr>
        <w:t xml:space="preserve"> </w:t>
      </w:r>
      <w:r w:rsidR="00E8552B">
        <w:rPr>
          <w:sz w:val="27"/>
          <w:szCs w:val="27"/>
        </w:rPr>
        <w:t>до момента производства демонтажа конструкции.</w:t>
      </w:r>
    </w:p>
    <w:p w:rsidR="00924E0E" w:rsidRPr="00571DBF" w:rsidRDefault="00427C63" w:rsidP="00C54A0B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 w:rsidRPr="00427C63">
        <w:rPr>
          <w:sz w:val="27"/>
          <w:szCs w:val="27"/>
        </w:rPr>
        <w:t>По сравнению с 2013 годом на 57,31%</w:t>
      </w:r>
      <w:r>
        <w:rPr>
          <w:sz w:val="27"/>
          <w:szCs w:val="27"/>
        </w:rPr>
        <w:t xml:space="preserve"> или на </w:t>
      </w:r>
      <w:r w:rsidRPr="00427C63">
        <w:rPr>
          <w:sz w:val="27"/>
          <w:szCs w:val="27"/>
        </w:rPr>
        <w:t>8 257,5 тыс.рублей</w:t>
      </w:r>
      <w:r>
        <w:rPr>
          <w:sz w:val="27"/>
          <w:szCs w:val="27"/>
        </w:rPr>
        <w:t xml:space="preserve"> снизилась сумма </w:t>
      </w:r>
      <w:r w:rsidR="00535A63">
        <w:rPr>
          <w:sz w:val="27"/>
          <w:szCs w:val="27"/>
        </w:rPr>
        <w:t xml:space="preserve">поступившей </w:t>
      </w:r>
      <w:r w:rsidRPr="00427C63">
        <w:rPr>
          <w:b/>
          <w:sz w:val="27"/>
          <w:szCs w:val="27"/>
        </w:rPr>
        <w:t>платы з</w:t>
      </w:r>
      <w:r w:rsidR="00A43BFF">
        <w:rPr>
          <w:b/>
          <w:sz w:val="27"/>
          <w:szCs w:val="27"/>
        </w:rPr>
        <w:t xml:space="preserve">а негативное воздействие на </w:t>
      </w:r>
      <w:r>
        <w:rPr>
          <w:b/>
          <w:sz w:val="27"/>
          <w:szCs w:val="27"/>
        </w:rPr>
        <w:t>окружающую среду (</w:t>
      </w:r>
      <w:r w:rsidR="00924E0E" w:rsidRPr="00571DBF">
        <w:rPr>
          <w:sz w:val="27"/>
          <w:szCs w:val="27"/>
        </w:rPr>
        <w:t>при плане</w:t>
      </w:r>
      <w:r w:rsidR="00924E0E" w:rsidRPr="00571DBF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16 101,2 тыс.рублей в бюджет города поступило</w:t>
      </w:r>
      <w:r w:rsidR="00924E0E" w:rsidRPr="00571DBF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6 151,8</w:t>
      </w:r>
      <w:r w:rsidR="00535A63">
        <w:rPr>
          <w:bCs/>
          <w:iCs/>
          <w:sz w:val="27"/>
          <w:szCs w:val="27"/>
        </w:rPr>
        <w:t xml:space="preserve"> тыс.рублей</w:t>
      </w:r>
      <w:r w:rsidR="00924E0E" w:rsidRPr="00571DBF">
        <w:rPr>
          <w:bCs/>
          <w:iCs/>
          <w:sz w:val="27"/>
          <w:szCs w:val="27"/>
        </w:rPr>
        <w:t xml:space="preserve"> или </w:t>
      </w:r>
      <w:r>
        <w:rPr>
          <w:bCs/>
          <w:iCs/>
          <w:sz w:val="27"/>
          <w:szCs w:val="27"/>
        </w:rPr>
        <w:t>38,21</w:t>
      </w:r>
      <w:r w:rsidR="00924E0E" w:rsidRPr="00571DBF">
        <w:rPr>
          <w:bCs/>
          <w:iCs/>
          <w:sz w:val="27"/>
          <w:szCs w:val="27"/>
        </w:rPr>
        <w:t>% к плану</w:t>
      </w:r>
      <w:r w:rsidR="00593C9C">
        <w:rPr>
          <w:bCs/>
          <w:iCs/>
          <w:sz w:val="27"/>
          <w:szCs w:val="27"/>
        </w:rPr>
        <w:t>)</w:t>
      </w:r>
      <w:r>
        <w:rPr>
          <w:bCs/>
          <w:iCs/>
          <w:sz w:val="27"/>
          <w:szCs w:val="27"/>
        </w:rPr>
        <w:t>.</w:t>
      </w:r>
      <w:r w:rsidR="00924E0E" w:rsidRPr="00571DBF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 xml:space="preserve">Как следует из Пояснительной записки, с 01.01.2014г. из тарифа на услуги </w:t>
      </w:r>
      <w:r w:rsidR="00535A63">
        <w:rPr>
          <w:bCs/>
          <w:iCs/>
          <w:sz w:val="27"/>
          <w:szCs w:val="27"/>
        </w:rPr>
        <w:t xml:space="preserve">ООО </w:t>
      </w:r>
      <w:r>
        <w:rPr>
          <w:bCs/>
          <w:iCs/>
          <w:sz w:val="27"/>
          <w:szCs w:val="27"/>
        </w:rPr>
        <w:t xml:space="preserve">«Спецавтотранс» по утилизации, обезвреживанию и захоронению твёрдых </w:t>
      </w:r>
      <w:r>
        <w:rPr>
          <w:bCs/>
          <w:iCs/>
          <w:sz w:val="27"/>
          <w:szCs w:val="27"/>
        </w:rPr>
        <w:lastRenderedPageBreak/>
        <w:t>бытовых отходов исключена плата за негативное воздействие на окружающую среду, что и стало причиной сокращения поступлений.</w:t>
      </w:r>
    </w:p>
    <w:p w:rsidR="00924E0E" w:rsidRPr="00571DBF" w:rsidRDefault="00DB1D3F" w:rsidP="00C54A0B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>П</w:t>
      </w:r>
      <w:r w:rsidR="00924E0E" w:rsidRPr="00571DBF">
        <w:rPr>
          <w:sz w:val="27"/>
          <w:szCs w:val="27"/>
        </w:rPr>
        <w:t xml:space="preserve">лан по </w:t>
      </w:r>
      <w:r w:rsidR="00924E0E" w:rsidRPr="00DB1D3F">
        <w:rPr>
          <w:b/>
          <w:sz w:val="27"/>
          <w:szCs w:val="27"/>
        </w:rPr>
        <w:t>доходам от оказания платных услуг и компенсации затрат государства</w:t>
      </w:r>
      <w:r w:rsidR="00924E0E" w:rsidRPr="00571DBF">
        <w:rPr>
          <w:bCs/>
          <w:iCs/>
          <w:sz w:val="27"/>
          <w:szCs w:val="27"/>
        </w:rPr>
        <w:t xml:space="preserve"> утвержден в сумме </w:t>
      </w:r>
      <w:r>
        <w:rPr>
          <w:bCs/>
          <w:iCs/>
          <w:sz w:val="27"/>
          <w:szCs w:val="27"/>
        </w:rPr>
        <w:t>3 492,4</w:t>
      </w:r>
      <w:r w:rsidR="00924E0E" w:rsidRPr="00571DBF">
        <w:rPr>
          <w:bCs/>
          <w:iCs/>
          <w:sz w:val="27"/>
          <w:szCs w:val="27"/>
        </w:rPr>
        <w:t xml:space="preserve"> тыс.рублей</w:t>
      </w:r>
      <w:r>
        <w:rPr>
          <w:bCs/>
          <w:iCs/>
          <w:sz w:val="27"/>
          <w:szCs w:val="27"/>
        </w:rPr>
        <w:t>.</w:t>
      </w:r>
      <w:r w:rsidR="00924E0E" w:rsidRPr="00571DBF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И</w:t>
      </w:r>
      <w:r w:rsidR="00924E0E" w:rsidRPr="00571DBF">
        <w:rPr>
          <w:bCs/>
          <w:iCs/>
          <w:sz w:val="27"/>
          <w:szCs w:val="27"/>
        </w:rPr>
        <w:t>сполнение</w:t>
      </w:r>
      <w:r>
        <w:rPr>
          <w:bCs/>
          <w:iCs/>
          <w:sz w:val="27"/>
          <w:szCs w:val="27"/>
        </w:rPr>
        <w:t xml:space="preserve"> по итогам 2014 года составило 85,57% к плану или 2 988,6</w:t>
      </w:r>
      <w:r w:rsidR="00924E0E" w:rsidRPr="00571DBF">
        <w:rPr>
          <w:bCs/>
          <w:iCs/>
          <w:sz w:val="27"/>
          <w:szCs w:val="27"/>
        </w:rPr>
        <w:t xml:space="preserve"> тыс.рублей, </w:t>
      </w:r>
      <w:r>
        <w:rPr>
          <w:bCs/>
          <w:iCs/>
          <w:sz w:val="27"/>
          <w:szCs w:val="27"/>
        </w:rPr>
        <w:t>в том числе доходы от оказания платных услуг муниципальным казённым учреждением «Управление  по делам гражданской обороны и чрезвычайным ситуациям города Волгодонска» – 2 434,7 тыс.рублей.</w:t>
      </w:r>
    </w:p>
    <w:p w:rsidR="00924E0E" w:rsidRPr="00571DBF" w:rsidRDefault="00924E0E" w:rsidP="00C54A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1DBF">
        <w:rPr>
          <w:sz w:val="27"/>
          <w:szCs w:val="27"/>
        </w:rPr>
        <w:t>По сравнению с 201</w:t>
      </w:r>
      <w:r w:rsidR="00DB1D3F">
        <w:rPr>
          <w:sz w:val="27"/>
          <w:szCs w:val="27"/>
        </w:rPr>
        <w:t>3</w:t>
      </w:r>
      <w:r w:rsidRPr="00571DBF">
        <w:rPr>
          <w:sz w:val="27"/>
          <w:szCs w:val="27"/>
        </w:rPr>
        <w:t xml:space="preserve"> годом доходы снизились на </w:t>
      </w:r>
      <w:r w:rsidR="00DB1D3F">
        <w:rPr>
          <w:sz w:val="27"/>
          <w:szCs w:val="27"/>
        </w:rPr>
        <w:t>347,1</w:t>
      </w:r>
      <w:r w:rsidRPr="00571DBF">
        <w:rPr>
          <w:sz w:val="27"/>
          <w:szCs w:val="27"/>
        </w:rPr>
        <w:t xml:space="preserve"> тыс.рублей</w:t>
      </w:r>
      <w:r w:rsidR="00DB1D3F">
        <w:rPr>
          <w:sz w:val="27"/>
          <w:szCs w:val="27"/>
        </w:rPr>
        <w:t>.</w:t>
      </w:r>
      <w:r w:rsidRPr="00571DBF">
        <w:rPr>
          <w:sz w:val="27"/>
          <w:szCs w:val="27"/>
        </w:rPr>
        <w:t xml:space="preserve"> </w:t>
      </w:r>
    </w:p>
    <w:p w:rsidR="00A43BFF" w:rsidRDefault="00924E0E" w:rsidP="00C54A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B1D3F">
        <w:rPr>
          <w:b/>
          <w:sz w:val="27"/>
          <w:szCs w:val="27"/>
        </w:rPr>
        <w:t>Доходы от продажи материальных и нематериальных активов</w:t>
      </w:r>
      <w:r w:rsidRPr="00571DBF">
        <w:rPr>
          <w:sz w:val="27"/>
          <w:szCs w:val="27"/>
        </w:rPr>
        <w:t xml:space="preserve"> </w:t>
      </w:r>
      <w:r w:rsidR="00DB1D3F">
        <w:rPr>
          <w:sz w:val="27"/>
          <w:szCs w:val="27"/>
        </w:rPr>
        <w:t>к уровню прошлого года увеличились на 14 589,0 тыс.рублей или на</w:t>
      </w:r>
      <w:r w:rsidR="00A34797">
        <w:rPr>
          <w:sz w:val="27"/>
          <w:szCs w:val="27"/>
        </w:rPr>
        <w:t xml:space="preserve"> 12,71% и составили 129 370,0 тыс.рублей. План 2014 года выполнен на 191,13%. По данному источнику отражены доходы, полученные от</w:t>
      </w:r>
      <w:r w:rsidR="00A43BFF">
        <w:rPr>
          <w:sz w:val="27"/>
          <w:szCs w:val="27"/>
        </w:rPr>
        <w:t>:</w:t>
      </w:r>
    </w:p>
    <w:p w:rsidR="00D56063" w:rsidRPr="00571DBF" w:rsidRDefault="00A43BFF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56063">
        <w:rPr>
          <w:i/>
          <w:sz w:val="27"/>
          <w:szCs w:val="27"/>
        </w:rPr>
        <w:t>продажи</w:t>
      </w:r>
      <w:r w:rsidR="00A34797" w:rsidRPr="00D56063">
        <w:rPr>
          <w:i/>
          <w:sz w:val="27"/>
          <w:szCs w:val="27"/>
        </w:rPr>
        <w:t xml:space="preserve"> </w:t>
      </w:r>
      <w:r w:rsidR="00D56063" w:rsidRPr="00D56063">
        <w:rPr>
          <w:i/>
          <w:sz w:val="27"/>
          <w:szCs w:val="27"/>
        </w:rPr>
        <w:t>квартир</w:t>
      </w:r>
      <w:r w:rsidR="00D56063" w:rsidRPr="00571DBF">
        <w:rPr>
          <w:b/>
          <w:i/>
          <w:sz w:val="27"/>
          <w:szCs w:val="27"/>
        </w:rPr>
        <w:t xml:space="preserve"> </w:t>
      </w:r>
      <w:r w:rsidR="00D56063" w:rsidRPr="00571DBF">
        <w:rPr>
          <w:sz w:val="27"/>
          <w:szCs w:val="27"/>
        </w:rPr>
        <w:t>(</w:t>
      </w:r>
      <w:r w:rsidR="006E5A7D">
        <w:rPr>
          <w:sz w:val="27"/>
          <w:szCs w:val="27"/>
        </w:rPr>
        <w:t xml:space="preserve">1 </w:t>
      </w:r>
      <w:r w:rsidR="00D56063" w:rsidRPr="006E5A7D">
        <w:rPr>
          <w:sz w:val="27"/>
          <w:szCs w:val="27"/>
        </w:rPr>
        <w:t>комнат</w:t>
      </w:r>
      <w:r w:rsidR="006E5A7D" w:rsidRPr="006E5A7D">
        <w:rPr>
          <w:sz w:val="27"/>
          <w:szCs w:val="27"/>
        </w:rPr>
        <w:t>а</w:t>
      </w:r>
      <w:r w:rsidR="00D56063" w:rsidRPr="006E5A7D">
        <w:rPr>
          <w:sz w:val="27"/>
          <w:szCs w:val="27"/>
        </w:rPr>
        <w:t xml:space="preserve"> в коммунальн</w:t>
      </w:r>
      <w:r w:rsidR="006E5A7D" w:rsidRPr="006E5A7D">
        <w:rPr>
          <w:sz w:val="27"/>
          <w:szCs w:val="27"/>
        </w:rPr>
        <w:t>ой</w:t>
      </w:r>
      <w:r w:rsidR="00D56063" w:rsidRPr="006E5A7D">
        <w:rPr>
          <w:sz w:val="27"/>
          <w:szCs w:val="27"/>
        </w:rPr>
        <w:t xml:space="preserve"> квартир</w:t>
      </w:r>
      <w:r w:rsidR="006E5A7D" w:rsidRPr="006E5A7D">
        <w:rPr>
          <w:sz w:val="27"/>
          <w:szCs w:val="27"/>
        </w:rPr>
        <w:t>е</w:t>
      </w:r>
      <w:r w:rsidR="00D56063" w:rsidRPr="006E5A7D">
        <w:rPr>
          <w:sz w:val="27"/>
          <w:szCs w:val="27"/>
        </w:rPr>
        <w:t xml:space="preserve">, </w:t>
      </w:r>
      <w:r w:rsidR="006E5A7D" w:rsidRPr="006E5A7D">
        <w:rPr>
          <w:sz w:val="27"/>
          <w:szCs w:val="27"/>
        </w:rPr>
        <w:t xml:space="preserve">2 </w:t>
      </w:r>
      <w:r w:rsidR="00D56063" w:rsidRPr="006E5A7D">
        <w:rPr>
          <w:sz w:val="27"/>
          <w:szCs w:val="27"/>
        </w:rPr>
        <w:t>дол</w:t>
      </w:r>
      <w:r w:rsidR="006E5A7D" w:rsidRPr="006E5A7D">
        <w:rPr>
          <w:sz w:val="27"/>
          <w:szCs w:val="27"/>
        </w:rPr>
        <w:t>и квартир</w:t>
      </w:r>
      <w:r w:rsidR="00D56063">
        <w:rPr>
          <w:sz w:val="27"/>
          <w:szCs w:val="27"/>
        </w:rPr>
        <w:t>) – 497,4</w:t>
      </w:r>
      <w:r w:rsidR="00D56063" w:rsidRPr="00571DBF">
        <w:rPr>
          <w:sz w:val="27"/>
          <w:szCs w:val="27"/>
        </w:rPr>
        <w:t xml:space="preserve"> тыс.рублей (плановая сумма не устанавливалась), что составило </w:t>
      </w:r>
      <w:r w:rsidR="00D56063">
        <w:rPr>
          <w:sz w:val="27"/>
          <w:szCs w:val="27"/>
        </w:rPr>
        <w:t xml:space="preserve">57,85% </w:t>
      </w:r>
      <w:r w:rsidR="00D56063" w:rsidRPr="00571DBF">
        <w:rPr>
          <w:sz w:val="27"/>
          <w:szCs w:val="27"/>
        </w:rPr>
        <w:t>к уровню 201</w:t>
      </w:r>
      <w:r w:rsidR="00D56063">
        <w:rPr>
          <w:sz w:val="27"/>
          <w:szCs w:val="27"/>
        </w:rPr>
        <w:t>3</w:t>
      </w:r>
      <w:r w:rsidR="00D56063" w:rsidRPr="00571DBF">
        <w:rPr>
          <w:sz w:val="27"/>
          <w:szCs w:val="27"/>
        </w:rPr>
        <w:t xml:space="preserve"> года</w:t>
      </w:r>
      <w:r w:rsidR="00D56063">
        <w:rPr>
          <w:sz w:val="27"/>
          <w:szCs w:val="27"/>
        </w:rPr>
        <w:t>;</w:t>
      </w:r>
    </w:p>
    <w:p w:rsidR="00924E0E" w:rsidRPr="00571DBF" w:rsidRDefault="00D56063" w:rsidP="00C54A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56063">
        <w:rPr>
          <w:i/>
          <w:sz w:val="27"/>
          <w:szCs w:val="27"/>
        </w:rPr>
        <w:t>реализации имущества, находящегося в муниципальной собственности</w:t>
      </w:r>
      <w:r>
        <w:rPr>
          <w:sz w:val="27"/>
          <w:szCs w:val="27"/>
        </w:rPr>
        <w:t xml:space="preserve"> – 24 574,3 тыс.рублей</w:t>
      </w:r>
      <w:r w:rsidR="00F02DE0">
        <w:rPr>
          <w:sz w:val="27"/>
          <w:szCs w:val="27"/>
        </w:rPr>
        <w:t xml:space="preserve"> (</w:t>
      </w:r>
      <w:r>
        <w:rPr>
          <w:sz w:val="27"/>
          <w:szCs w:val="27"/>
        </w:rPr>
        <w:t>204,79% к плану</w:t>
      </w:r>
      <w:r w:rsidR="00F02DE0">
        <w:rPr>
          <w:sz w:val="27"/>
          <w:szCs w:val="27"/>
        </w:rPr>
        <w:t>), из них</w:t>
      </w:r>
      <w:r w:rsidR="00924E0E" w:rsidRPr="00571DBF">
        <w:rPr>
          <w:sz w:val="27"/>
          <w:szCs w:val="27"/>
        </w:rPr>
        <w:t>:</w:t>
      </w:r>
    </w:p>
    <w:p w:rsidR="00924E0E" w:rsidRPr="00571DBF" w:rsidRDefault="006E5A7D" w:rsidP="00C54A0B">
      <w:pPr>
        <w:tabs>
          <w:tab w:val="left" w:pos="709"/>
          <w:tab w:val="left" w:pos="1134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>
        <w:rPr>
          <w:sz w:val="27"/>
          <w:szCs w:val="27"/>
        </w:rPr>
        <w:tab/>
      </w:r>
      <w:r w:rsidR="00924E0E" w:rsidRPr="00571DBF">
        <w:rPr>
          <w:sz w:val="27"/>
          <w:szCs w:val="27"/>
        </w:rPr>
        <w:t>реализация преимущественного права на выкуп арендованного имущества субъектами малого и среднего предпринимательства</w:t>
      </w:r>
      <w:r w:rsidR="00924E0E">
        <w:rPr>
          <w:sz w:val="27"/>
          <w:szCs w:val="27"/>
        </w:rPr>
        <w:tab/>
      </w:r>
      <w:r w:rsidR="00F02DE0">
        <w:rPr>
          <w:sz w:val="27"/>
          <w:szCs w:val="27"/>
        </w:rPr>
        <w:t>–</w:t>
      </w:r>
      <w:r w:rsidR="004F34AB">
        <w:rPr>
          <w:sz w:val="27"/>
          <w:szCs w:val="27"/>
        </w:rPr>
        <w:t>13 265,0</w:t>
      </w:r>
      <w:r w:rsidR="00924E0E" w:rsidRPr="00571DBF">
        <w:rPr>
          <w:sz w:val="27"/>
          <w:szCs w:val="27"/>
        </w:rPr>
        <w:t xml:space="preserve"> тыс.рублей;</w:t>
      </w:r>
    </w:p>
    <w:p w:rsidR="00924E0E" w:rsidRPr="00571DBF" w:rsidRDefault="006E5A7D" w:rsidP="00C54A0B">
      <w:pPr>
        <w:tabs>
          <w:tab w:val="left" w:pos="709"/>
          <w:tab w:val="left" w:pos="1134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>
        <w:rPr>
          <w:sz w:val="27"/>
          <w:szCs w:val="27"/>
        </w:rPr>
        <w:tab/>
        <w:t xml:space="preserve">реализация на </w:t>
      </w:r>
      <w:r w:rsidR="00924E0E" w:rsidRPr="00571DBF">
        <w:rPr>
          <w:sz w:val="27"/>
          <w:szCs w:val="27"/>
        </w:rPr>
        <w:t>аукцион</w:t>
      </w:r>
      <w:r>
        <w:rPr>
          <w:sz w:val="27"/>
          <w:szCs w:val="27"/>
        </w:rPr>
        <w:t>ных торгах объектов прогнозного плана приватизации 2013г.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924E0E" w:rsidRPr="00571DBF">
        <w:rPr>
          <w:sz w:val="27"/>
          <w:szCs w:val="27"/>
        </w:rPr>
        <w:t xml:space="preserve">– </w:t>
      </w:r>
      <w:r w:rsidR="00924E0E">
        <w:rPr>
          <w:sz w:val="27"/>
          <w:szCs w:val="27"/>
        </w:rPr>
        <w:t xml:space="preserve">  </w:t>
      </w:r>
      <w:r>
        <w:rPr>
          <w:sz w:val="27"/>
          <w:szCs w:val="27"/>
        </w:rPr>
        <w:t>4 935,0</w:t>
      </w:r>
      <w:r w:rsidR="00924E0E" w:rsidRPr="00571DBF">
        <w:rPr>
          <w:sz w:val="27"/>
          <w:szCs w:val="27"/>
        </w:rPr>
        <w:t xml:space="preserve"> тыс.рублей;</w:t>
      </w:r>
    </w:p>
    <w:p w:rsidR="006E5A7D" w:rsidRDefault="006E5A7D" w:rsidP="00C54A0B">
      <w:pPr>
        <w:tabs>
          <w:tab w:val="left" w:pos="709"/>
          <w:tab w:val="left" w:pos="1134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>
        <w:rPr>
          <w:sz w:val="27"/>
          <w:szCs w:val="27"/>
        </w:rPr>
        <w:tab/>
        <w:t xml:space="preserve">реализация на </w:t>
      </w:r>
      <w:r w:rsidRPr="00571DBF">
        <w:rPr>
          <w:sz w:val="27"/>
          <w:szCs w:val="27"/>
        </w:rPr>
        <w:t>аукцион</w:t>
      </w:r>
      <w:r>
        <w:rPr>
          <w:sz w:val="27"/>
          <w:szCs w:val="27"/>
        </w:rPr>
        <w:t>ных торгах объектов прогнозного плана приватизации 2014г.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571DBF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6 090,5</w:t>
      </w:r>
      <w:r w:rsidRPr="00571DBF">
        <w:rPr>
          <w:sz w:val="27"/>
          <w:szCs w:val="27"/>
        </w:rPr>
        <w:t xml:space="preserve"> тыс.рублей;</w:t>
      </w:r>
    </w:p>
    <w:p w:rsidR="00F02DE0" w:rsidRDefault="00F02DE0" w:rsidP="00C54A0B">
      <w:pPr>
        <w:tabs>
          <w:tab w:val="left" w:pos="709"/>
          <w:tab w:val="left" w:pos="1134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>
        <w:rPr>
          <w:sz w:val="27"/>
          <w:szCs w:val="27"/>
        </w:rPr>
        <w:tab/>
        <w:t>продажа по решению суда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571DBF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     283,8</w:t>
      </w:r>
      <w:r w:rsidRPr="00571DBF">
        <w:rPr>
          <w:sz w:val="27"/>
          <w:szCs w:val="27"/>
        </w:rPr>
        <w:t xml:space="preserve"> тыс.рублей</w:t>
      </w:r>
      <w:r>
        <w:rPr>
          <w:sz w:val="27"/>
          <w:szCs w:val="27"/>
        </w:rPr>
        <w:t>.</w:t>
      </w:r>
    </w:p>
    <w:p w:rsidR="00924E0E" w:rsidRPr="00571DBF" w:rsidRDefault="00F02DE0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Как следует из Пояснительной записки, с</w:t>
      </w:r>
      <w:r w:rsidR="00924E0E" w:rsidRPr="00571DBF">
        <w:rPr>
          <w:sz w:val="27"/>
          <w:szCs w:val="27"/>
        </w:rPr>
        <w:t xml:space="preserve">верхплановые доходы в сумме </w:t>
      </w:r>
      <w:r>
        <w:rPr>
          <w:sz w:val="27"/>
          <w:szCs w:val="27"/>
        </w:rPr>
        <w:t>12 574,3</w:t>
      </w:r>
      <w:r w:rsidR="00924E0E" w:rsidRPr="00571DBF">
        <w:rPr>
          <w:sz w:val="27"/>
          <w:szCs w:val="27"/>
        </w:rPr>
        <w:t xml:space="preserve"> тыс.рублей </w:t>
      </w:r>
      <w:r w:rsidR="003F1CE6">
        <w:rPr>
          <w:sz w:val="27"/>
          <w:szCs w:val="27"/>
        </w:rPr>
        <w:t>обусловлены</w:t>
      </w:r>
      <w:r w:rsidR="00924E0E" w:rsidRPr="00571DBF">
        <w:rPr>
          <w:sz w:val="27"/>
          <w:szCs w:val="27"/>
        </w:rPr>
        <w:t>, в основном, поступлени</w:t>
      </w:r>
      <w:r w:rsidR="003F1CE6">
        <w:rPr>
          <w:sz w:val="27"/>
          <w:szCs w:val="27"/>
        </w:rPr>
        <w:t>ем</w:t>
      </w:r>
      <w:r w:rsidR="00924E0E" w:rsidRPr="00571DBF">
        <w:rPr>
          <w:sz w:val="27"/>
          <w:szCs w:val="27"/>
        </w:rPr>
        <w:t xml:space="preserve"> средств от реализации объектов прогнозного плана 201</w:t>
      </w:r>
      <w:r>
        <w:rPr>
          <w:sz w:val="27"/>
          <w:szCs w:val="27"/>
        </w:rPr>
        <w:t>3</w:t>
      </w:r>
      <w:r w:rsidR="00924E0E" w:rsidRPr="00571DBF">
        <w:rPr>
          <w:sz w:val="27"/>
          <w:szCs w:val="27"/>
        </w:rPr>
        <w:t xml:space="preserve"> года, а также превышени</w:t>
      </w:r>
      <w:r w:rsidR="003F1CE6">
        <w:rPr>
          <w:sz w:val="27"/>
          <w:szCs w:val="27"/>
        </w:rPr>
        <w:t>ем</w:t>
      </w:r>
      <w:r w:rsidR="00924E0E" w:rsidRPr="00571DBF">
        <w:rPr>
          <w:sz w:val="27"/>
          <w:szCs w:val="27"/>
        </w:rPr>
        <w:t xml:space="preserve"> продажной цены объектов на аукционных торгах над прогнозируемой</w:t>
      </w:r>
      <w:r>
        <w:rPr>
          <w:sz w:val="27"/>
          <w:szCs w:val="27"/>
        </w:rPr>
        <w:t xml:space="preserve">, </w:t>
      </w:r>
      <w:r w:rsidR="00892ABF">
        <w:rPr>
          <w:sz w:val="27"/>
          <w:szCs w:val="27"/>
        </w:rPr>
        <w:t>продаж</w:t>
      </w:r>
      <w:r w:rsidR="003F1CE6">
        <w:rPr>
          <w:sz w:val="27"/>
          <w:szCs w:val="27"/>
        </w:rPr>
        <w:t>ей</w:t>
      </w:r>
      <w:r w:rsidR="00892ABF">
        <w:rPr>
          <w:sz w:val="27"/>
          <w:szCs w:val="27"/>
        </w:rPr>
        <w:t xml:space="preserve"> объектов из группы «неликвидных», </w:t>
      </w:r>
      <w:r w:rsidR="00924E0E" w:rsidRPr="00571DBF">
        <w:rPr>
          <w:sz w:val="27"/>
          <w:szCs w:val="27"/>
        </w:rPr>
        <w:t>досрочн</w:t>
      </w:r>
      <w:r w:rsidR="003F1CE6">
        <w:rPr>
          <w:sz w:val="27"/>
          <w:szCs w:val="27"/>
        </w:rPr>
        <w:t>ым</w:t>
      </w:r>
      <w:r w:rsidR="00924E0E">
        <w:rPr>
          <w:sz w:val="27"/>
          <w:szCs w:val="27"/>
        </w:rPr>
        <w:t xml:space="preserve"> поступлени</w:t>
      </w:r>
      <w:r w:rsidR="003F1CE6">
        <w:rPr>
          <w:sz w:val="27"/>
          <w:szCs w:val="27"/>
        </w:rPr>
        <w:t>ем</w:t>
      </w:r>
      <w:r w:rsidR="00924E0E" w:rsidRPr="00571DBF">
        <w:rPr>
          <w:sz w:val="27"/>
          <w:szCs w:val="27"/>
        </w:rPr>
        <w:t xml:space="preserve"> платы за имущество</w:t>
      </w:r>
      <w:r>
        <w:rPr>
          <w:sz w:val="27"/>
          <w:szCs w:val="27"/>
        </w:rPr>
        <w:t xml:space="preserve"> и оплат</w:t>
      </w:r>
      <w:r w:rsidR="003F1CE6">
        <w:rPr>
          <w:sz w:val="27"/>
          <w:szCs w:val="27"/>
        </w:rPr>
        <w:t>ой</w:t>
      </w:r>
      <w:r>
        <w:rPr>
          <w:sz w:val="27"/>
          <w:szCs w:val="27"/>
        </w:rPr>
        <w:t xml:space="preserve"> штрафных санкций за нарушение условий договоров выкупа</w:t>
      </w:r>
      <w:r w:rsidR="003F1CE6">
        <w:rPr>
          <w:sz w:val="27"/>
          <w:szCs w:val="27"/>
        </w:rPr>
        <w:t>;</w:t>
      </w:r>
    </w:p>
    <w:p w:rsidR="004B5DE2" w:rsidRDefault="00924E0E" w:rsidP="00C54A0B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92ABF">
        <w:rPr>
          <w:i/>
          <w:sz w:val="27"/>
          <w:szCs w:val="27"/>
        </w:rPr>
        <w:t>доход</w:t>
      </w:r>
      <w:r w:rsidR="00892ABF">
        <w:rPr>
          <w:i/>
          <w:sz w:val="27"/>
          <w:szCs w:val="27"/>
        </w:rPr>
        <w:t xml:space="preserve">ы от продажи земельных участков </w:t>
      </w:r>
      <w:r w:rsidR="00892ABF" w:rsidRPr="00892ABF">
        <w:rPr>
          <w:sz w:val="27"/>
          <w:szCs w:val="27"/>
        </w:rPr>
        <w:t>поступили в сумме 104 298,3 тыс.рублей, в том числе</w:t>
      </w:r>
      <w:r w:rsidR="004B5DE2">
        <w:rPr>
          <w:sz w:val="27"/>
          <w:szCs w:val="27"/>
        </w:rPr>
        <w:t xml:space="preserve"> от реализации:</w:t>
      </w:r>
    </w:p>
    <w:p w:rsidR="004B5DE2" w:rsidRDefault="00836143" w:rsidP="00C54A0B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443 </w:t>
      </w:r>
      <w:r w:rsidR="00892ABF" w:rsidRPr="00892ABF">
        <w:rPr>
          <w:sz w:val="27"/>
          <w:szCs w:val="27"/>
        </w:rPr>
        <w:t>участко</w:t>
      </w:r>
      <w:r w:rsidR="00892ABF">
        <w:rPr>
          <w:sz w:val="27"/>
          <w:szCs w:val="27"/>
        </w:rPr>
        <w:t>в,</w:t>
      </w:r>
      <w:r w:rsidR="00924E0E" w:rsidRPr="00892ABF">
        <w:rPr>
          <w:sz w:val="27"/>
          <w:szCs w:val="27"/>
        </w:rPr>
        <w:t xml:space="preserve"> государственная собственн</w:t>
      </w:r>
      <w:r w:rsidR="00892ABF">
        <w:rPr>
          <w:sz w:val="27"/>
          <w:szCs w:val="27"/>
        </w:rPr>
        <w:t>ость на которые не разграничена</w:t>
      </w:r>
      <w:r w:rsidR="004B5DE2">
        <w:rPr>
          <w:sz w:val="27"/>
          <w:szCs w:val="27"/>
        </w:rPr>
        <w:t>,</w:t>
      </w:r>
      <w:r w:rsidR="00892ABF">
        <w:rPr>
          <w:sz w:val="27"/>
          <w:szCs w:val="27"/>
        </w:rPr>
        <w:t xml:space="preserve"> – 102 350,7 тыс.рублей (</w:t>
      </w:r>
      <w:r w:rsidR="004B5DE2">
        <w:rPr>
          <w:sz w:val="27"/>
          <w:szCs w:val="27"/>
        </w:rPr>
        <w:t>183,79% к плану);</w:t>
      </w:r>
    </w:p>
    <w:p w:rsidR="00924E0E" w:rsidRPr="004B5DE2" w:rsidRDefault="00836143" w:rsidP="00C54A0B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 </w:t>
      </w:r>
      <w:r w:rsidR="004B5DE2" w:rsidRPr="004B5DE2">
        <w:rPr>
          <w:sz w:val="27"/>
          <w:szCs w:val="27"/>
        </w:rPr>
        <w:t>участков, находящихся в собственности городских округов</w:t>
      </w:r>
      <w:r w:rsidR="003F1CE6">
        <w:rPr>
          <w:sz w:val="27"/>
          <w:szCs w:val="27"/>
        </w:rPr>
        <w:t>,</w:t>
      </w:r>
      <w:r w:rsidR="004B5DE2">
        <w:rPr>
          <w:sz w:val="27"/>
          <w:szCs w:val="27"/>
        </w:rPr>
        <w:t xml:space="preserve"> – 1 947,6 тыс.рублей (плановый показатель не устанавливался).</w:t>
      </w:r>
    </w:p>
    <w:p w:rsidR="006448B6" w:rsidRDefault="00924E0E" w:rsidP="00C54A0B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 w:rsidRPr="00571DBF">
        <w:rPr>
          <w:bCs/>
          <w:iCs/>
          <w:sz w:val="27"/>
          <w:szCs w:val="27"/>
        </w:rPr>
        <w:t>Согласно информации Комитета по управлению имуществом 10</w:t>
      </w:r>
      <w:r w:rsidR="006448B6">
        <w:rPr>
          <w:bCs/>
          <w:iCs/>
          <w:sz w:val="27"/>
          <w:szCs w:val="27"/>
        </w:rPr>
        <w:t>4</w:t>
      </w:r>
      <w:r w:rsidRPr="00571DBF">
        <w:rPr>
          <w:bCs/>
          <w:iCs/>
          <w:sz w:val="27"/>
          <w:szCs w:val="27"/>
        </w:rPr>
        <w:t xml:space="preserve"> земельны</w:t>
      </w:r>
      <w:r w:rsidR="006448B6">
        <w:rPr>
          <w:bCs/>
          <w:iCs/>
          <w:sz w:val="27"/>
          <w:szCs w:val="27"/>
        </w:rPr>
        <w:t>х</w:t>
      </w:r>
      <w:r w:rsidRPr="00571DBF">
        <w:rPr>
          <w:bCs/>
          <w:iCs/>
          <w:sz w:val="27"/>
          <w:szCs w:val="27"/>
        </w:rPr>
        <w:t xml:space="preserve"> участ</w:t>
      </w:r>
      <w:r w:rsidR="006448B6">
        <w:rPr>
          <w:bCs/>
          <w:iCs/>
          <w:sz w:val="27"/>
          <w:szCs w:val="27"/>
        </w:rPr>
        <w:t>ка</w:t>
      </w:r>
      <w:r w:rsidR="00836143">
        <w:rPr>
          <w:bCs/>
          <w:iCs/>
          <w:sz w:val="27"/>
          <w:szCs w:val="27"/>
        </w:rPr>
        <w:t>,</w:t>
      </w:r>
      <w:r w:rsidR="006448B6">
        <w:rPr>
          <w:bCs/>
          <w:iCs/>
          <w:sz w:val="27"/>
          <w:szCs w:val="27"/>
        </w:rPr>
        <w:t xml:space="preserve"> </w:t>
      </w:r>
      <w:r w:rsidR="00836143" w:rsidRPr="00892ABF">
        <w:rPr>
          <w:sz w:val="27"/>
          <w:szCs w:val="27"/>
        </w:rPr>
        <w:t>государственная собственн</w:t>
      </w:r>
      <w:r w:rsidR="00836143">
        <w:rPr>
          <w:sz w:val="27"/>
          <w:szCs w:val="27"/>
        </w:rPr>
        <w:t>ость на которые не разграничена,</w:t>
      </w:r>
      <w:r w:rsidR="00836143">
        <w:rPr>
          <w:bCs/>
          <w:iCs/>
          <w:sz w:val="27"/>
          <w:szCs w:val="27"/>
        </w:rPr>
        <w:t xml:space="preserve"> </w:t>
      </w:r>
      <w:r w:rsidR="003F1CE6">
        <w:rPr>
          <w:bCs/>
          <w:iCs/>
          <w:sz w:val="27"/>
          <w:szCs w:val="27"/>
        </w:rPr>
        <w:t xml:space="preserve"> из 443 </w:t>
      </w:r>
      <w:r w:rsidR="003F1CE6" w:rsidRPr="00571DBF">
        <w:rPr>
          <w:bCs/>
          <w:iCs/>
          <w:sz w:val="27"/>
          <w:szCs w:val="27"/>
        </w:rPr>
        <w:t>реализован</w:t>
      </w:r>
      <w:r w:rsidR="003F1CE6">
        <w:rPr>
          <w:bCs/>
          <w:iCs/>
          <w:sz w:val="27"/>
          <w:szCs w:val="27"/>
        </w:rPr>
        <w:t>о</w:t>
      </w:r>
      <w:r w:rsidR="003F1CE6" w:rsidRPr="00571DBF">
        <w:rPr>
          <w:bCs/>
          <w:iCs/>
          <w:sz w:val="27"/>
          <w:szCs w:val="27"/>
        </w:rPr>
        <w:t xml:space="preserve"> на аукционных торгах </w:t>
      </w:r>
      <w:r w:rsidR="00D95387">
        <w:rPr>
          <w:bCs/>
          <w:iCs/>
          <w:sz w:val="27"/>
          <w:szCs w:val="27"/>
        </w:rPr>
        <w:t>на сумму 65 836,2 тыс.рублей</w:t>
      </w:r>
      <w:r w:rsidR="006448B6">
        <w:rPr>
          <w:bCs/>
          <w:iCs/>
          <w:sz w:val="27"/>
          <w:szCs w:val="27"/>
        </w:rPr>
        <w:t>, из них:</w:t>
      </w:r>
    </w:p>
    <w:p w:rsidR="00924E0E" w:rsidRPr="00571DBF" w:rsidRDefault="006448B6" w:rsidP="00C54A0B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34</w:t>
      </w:r>
      <w:r w:rsidR="00924E0E" w:rsidRPr="00571DBF">
        <w:rPr>
          <w:bCs/>
          <w:iCs/>
          <w:sz w:val="27"/>
          <w:szCs w:val="27"/>
        </w:rPr>
        <w:t xml:space="preserve"> участка были выкуплены по начальной цене;</w:t>
      </w:r>
    </w:p>
    <w:p w:rsidR="00924E0E" w:rsidRPr="00571DBF" w:rsidRDefault="00924E0E" w:rsidP="00C54A0B">
      <w:pPr>
        <w:autoSpaceDE w:val="0"/>
        <w:autoSpaceDN w:val="0"/>
        <w:adjustRightInd w:val="0"/>
        <w:ind w:firstLine="709"/>
        <w:jc w:val="both"/>
        <w:rPr>
          <w:bCs/>
          <w:iCs/>
          <w:sz w:val="27"/>
          <w:szCs w:val="27"/>
        </w:rPr>
      </w:pPr>
      <w:r w:rsidRPr="00571DBF">
        <w:rPr>
          <w:bCs/>
          <w:iCs/>
          <w:sz w:val="27"/>
          <w:szCs w:val="27"/>
        </w:rPr>
        <w:t xml:space="preserve">по </w:t>
      </w:r>
      <w:r w:rsidR="006448B6">
        <w:rPr>
          <w:bCs/>
          <w:iCs/>
          <w:sz w:val="27"/>
          <w:szCs w:val="27"/>
        </w:rPr>
        <w:t>70</w:t>
      </w:r>
      <w:r w:rsidRPr="00571DBF">
        <w:rPr>
          <w:bCs/>
          <w:iCs/>
          <w:sz w:val="27"/>
          <w:szCs w:val="27"/>
        </w:rPr>
        <w:t xml:space="preserve"> участкам превышение цены выкупа земельного участка</w:t>
      </w:r>
      <w:r w:rsidR="00D95387">
        <w:rPr>
          <w:bCs/>
          <w:iCs/>
          <w:sz w:val="27"/>
          <w:szCs w:val="27"/>
        </w:rPr>
        <w:t xml:space="preserve"> </w:t>
      </w:r>
      <w:r w:rsidRPr="00571DBF">
        <w:rPr>
          <w:bCs/>
          <w:iCs/>
          <w:sz w:val="27"/>
          <w:szCs w:val="27"/>
        </w:rPr>
        <w:t xml:space="preserve">над начальной ценой составило </w:t>
      </w:r>
      <w:r w:rsidR="00D95387">
        <w:rPr>
          <w:bCs/>
          <w:iCs/>
          <w:sz w:val="27"/>
          <w:szCs w:val="27"/>
        </w:rPr>
        <w:t>23 329,9</w:t>
      </w:r>
      <w:r w:rsidRPr="00571DBF">
        <w:rPr>
          <w:bCs/>
          <w:iCs/>
          <w:sz w:val="27"/>
          <w:szCs w:val="27"/>
        </w:rPr>
        <w:t xml:space="preserve"> тыс.рублей или </w:t>
      </w:r>
      <w:r w:rsidR="00D95387">
        <w:rPr>
          <w:bCs/>
          <w:iCs/>
          <w:sz w:val="27"/>
          <w:szCs w:val="27"/>
        </w:rPr>
        <w:t>86,59</w:t>
      </w:r>
      <w:r w:rsidRPr="00571DBF">
        <w:rPr>
          <w:bCs/>
          <w:iCs/>
          <w:sz w:val="27"/>
          <w:szCs w:val="27"/>
        </w:rPr>
        <w:t>%.</w:t>
      </w:r>
    </w:p>
    <w:p w:rsidR="00836143" w:rsidRDefault="00836143" w:rsidP="00C54A0B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3F1CE6">
        <w:rPr>
          <w:i/>
          <w:sz w:val="27"/>
          <w:szCs w:val="27"/>
        </w:rPr>
        <w:t>Следует отметить, что 90 участков реализованы в собственность под индивидуальное жилищное строительство</w:t>
      </w:r>
      <w:r>
        <w:rPr>
          <w:sz w:val="27"/>
          <w:szCs w:val="27"/>
        </w:rPr>
        <w:t>.</w:t>
      </w:r>
    </w:p>
    <w:p w:rsidR="00924E0E" w:rsidRDefault="00924E0E" w:rsidP="00C54A0B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71DBF">
        <w:rPr>
          <w:sz w:val="27"/>
          <w:szCs w:val="27"/>
        </w:rPr>
        <w:lastRenderedPageBreak/>
        <w:t xml:space="preserve">Кроме того, </w:t>
      </w:r>
      <w:r w:rsidR="00836143">
        <w:rPr>
          <w:sz w:val="27"/>
          <w:szCs w:val="27"/>
        </w:rPr>
        <w:t>339</w:t>
      </w:r>
      <w:r w:rsidRPr="00571DBF">
        <w:rPr>
          <w:sz w:val="27"/>
          <w:szCs w:val="27"/>
        </w:rPr>
        <w:t xml:space="preserve"> земельных участк</w:t>
      </w:r>
      <w:r w:rsidR="00836143">
        <w:rPr>
          <w:sz w:val="27"/>
          <w:szCs w:val="27"/>
        </w:rPr>
        <w:t>ов</w:t>
      </w:r>
      <w:r w:rsidRPr="00571DBF">
        <w:rPr>
          <w:sz w:val="27"/>
          <w:szCs w:val="27"/>
        </w:rPr>
        <w:t xml:space="preserve"> были реализованы в течение отчётного года в порядке, предусмотренном статьями 34 и 36 Земельного кодекса РФ, а также в соответствии с Федеральным законом от 15.04.1998 №66-ФЗ «О садоводческих, огороднических и дачных некоммерческих объединениях граждан». По итогам реализации в местный бюджет поступило </w:t>
      </w:r>
      <w:r w:rsidR="00836143">
        <w:rPr>
          <w:sz w:val="27"/>
          <w:szCs w:val="27"/>
        </w:rPr>
        <w:t>36 514,5</w:t>
      </w:r>
      <w:r w:rsidRPr="00571DBF">
        <w:rPr>
          <w:sz w:val="27"/>
          <w:szCs w:val="27"/>
        </w:rPr>
        <w:t xml:space="preserve"> тыс.рублей. </w:t>
      </w:r>
    </w:p>
    <w:p w:rsidR="00836143" w:rsidRPr="00571DBF" w:rsidRDefault="00836143" w:rsidP="00C54A0B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уровню 2013 года поступления от реализации земельных участков увеличились на 12 889,6 тыс.рублей или на 14,1%. </w:t>
      </w:r>
    </w:p>
    <w:p w:rsidR="006A508C" w:rsidRDefault="00924E0E" w:rsidP="00C54A0B">
      <w:pPr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 w:rsidRPr="00535C4F">
        <w:rPr>
          <w:b/>
          <w:i/>
          <w:sz w:val="27"/>
          <w:szCs w:val="27"/>
        </w:rPr>
        <w:t>Штрафы, санкции, суммы в возмещение ущерба</w:t>
      </w:r>
      <w:r w:rsidRPr="00571DBF">
        <w:rPr>
          <w:b/>
          <w:i/>
          <w:sz w:val="27"/>
          <w:szCs w:val="27"/>
        </w:rPr>
        <w:t xml:space="preserve"> </w:t>
      </w:r>
      <w:r w:rsidRPr="00571DBF">
        <w:rPr>
          <w:sz w:val="27"/>
          <w:szCs w:val="27"/>
        </w:rPr>
        <w:t xml:space="preserve">поступили в </w:t>
      </w:r>
      <w:r w:rsidR="00836143">
        <w:rPr>
          <w:sz w:val="27"/>
          <w:szCs w:val="27"/>
        </w:rPr>
        <w:t xml:space="preserve">сумме 19 263,3 </w:t>
      </w:r>
      <w:r w:rsidRPr="00571DBF">
        <w:rPr>
          <w:sz w:val="27"/>
          <w:szCs w:val="27"/>
        </w:rPr>
        <w:t xml:space="preserve">тыс.рублей, </w:t>
      </w:r>
      <w:r w:rsidR="007207FF">
        <w:rPr>
          <w:sz w:val="27"/>
          <w:szCs w:val="27"/>
        </w:rPr>
        <w:t xml:space="preserve">план выполнен на 144,15%. </w:t>
      </w:r>
      <w:r w:rsidR="00A34831">
        <w:rPr>
          <w:sz w:val="27"/>
          <w:szCs w:val="27"/>
        </w:rPr>
        <w:t>П</w:t>
      </w:r>
      <w:r w:rsidR="006A508C">
        <w:rPr>
          <w:sz w:val="27"/>
          <w:szCs w:val="27"/>
        </w:rPr>
        <w:t>еревып</w:t>
      </w:r>
      <w:r w:rsidR="00A34831">
        <w:rPr>
          <w:sz w:val="27"/>
          <w:szCs w:val="27"/>
        </w:rPr>
        <w:t>олнение</w:t>
      </w:r>
      <w:r w:rsidR="006A508C">
        <w:rPr>
          <w:sz w:val="27"/>
          <w:szCs w:val="27"/>
        </w:rPr>
        <w:t>, как следует из Пояснительной записки,</w:t>
      </w:r>
      <w:r w:rsidR="00A34831">
        <w:rPr>
          <w:sz w:val="27"/>
          <w:szCs w:val="27"/>
        </w:rPr>
        <w:t xml:space="preserve"> сложилось</w:t>
      </w:r>
      <w:r w:rsidR="006A508C">
        <w:rPr>
          <w:sz w:val="27"/>
          <w:szCs w:val="27"/>
        </w:rPr>
        <w:t xml:space="preserve"> в основном в результате поступления средств за нарушение подрядчиками (исполнителями) условий контрактов (договоров), заключённых муни</w:t>
      </w:r>
      <w:r w:rsidR="0080689A">
        <w:rPr>
          <w:sz w:val="27"/>
          <w:szCs w:val="27"/>
        </w:rPr>
        <w:t xml:space="preserve">ципальными учреждениями города. </w:t>
      </w:r>
      <w:r w:rsidR="006A508C">
        <w:rPr>
          <w:sz w:val="27"/>
          <w:szCs w:val="27"/>
        </w:rPr>
        <w:t>Кроме того, администраторами доходов была активизирована работа по повышению уровня собираемост</w:t>
      </w:r>
      <w:r w:rsidR="0080689A">
        <w:rPr>
          <w:sz w:val="27"/>
          <w:szCs w:val="27"/>
        </w:rPr>
        <w:t xml:space="preserve">и </w:t>
      </w:r>
      <w:r w:rsidR="006A508C">
        <w:rPr>
          <w:sz w:val="27"/>
          <w:szCs w:val="27"/>
        </w:rPr>
        <w:t>штрафов.</w:t>
      </w:r>
    </w:p>
    <w:p w:rsidR="00DD2574" w:rsidRDefault="007207FF" w:rsidP="00C54A0B">
      <w:pPr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сравнению с 2013 годом объём поступлений сократился на 1 205,0 тыс.рублей или </w:t>
      </w:r>
      <w:r w:rsidRPr="00571DBF">
        <w:rPr>
          <w:sz w:val="27"/>
          <w:szCs w:val="27"/>
        </w:rPr>
        <w:t xml:space="preserve">на </w:t>
      </w:r>
      <w:r>
        <w:rPr>
          <w:sz w:val="27"/>
          <w:szCs w:val="27"/>
        </w:rPr>
        <w:t>5,89</w:t>
      </w:r>
      <w:r w:rsidRPr="00571DBF">
        <w:rPr>
          <w:sz w:val="27"/>
          <w:szCs w:val="27"/>
        </w:rPr>
        <w:t xml:space="preserve">%. </w:t>
      </w:r>
    </w:p>
    <w:p w:rsidR="00924E0E" w:rsidRPr="00571DBF" w:rsidRDefault="00924E0E" w:rsidP="00C54A0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71DBF">
        <w:rPr>
          <w:b/>
          <w:sz w:val="27"/>
          <w:szCs w:val="27"/>
        </w:rPr>
        <w:t>Безвозмездные поступления</w:t>
      </w:r>
    </w:p>
    <w:p w:rsidR="00455E0C" w:rsidRDefault="00455E0C" w:rsidP="00C54A0B">
      <w:pPr>
        <w:autoSpaceDE w:val="0"/>
        <w:autoSpaceDN w:val="0"/>
        <w:adjustRightInd w:val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В 2014 году план по безвозмездным поступлениям от других бюджетов бюджетной системы РФ исполнен на 93,38%, что составило 2 317 994,3 тыс.рублей.</w:t>
      </w:r>
      <w:r w:rsidR="006601F3">
        <w:rPr>
          <w:sz w:val="27"/>
          <w:szCs w:val="27"/>
        </w:rPr>
        <w:t xml:space="preserve"> </w:t>
      </w:r>
      <w:r w:rsidR="006C35C3">
        <w:rPr>
          <w:sz w:val="27"/>
          <w:szCs w:val="27"/>
        </w:rPr>
        <w:t>Анали</w:t>
      </w:r>
      <w:r w:rsidR="008F1385">
        <w:rPr>
          <w:sz w:val="27"/>
          <w:szCs w:val="27"/>
        </w:rPr>
        <w:t>з</w:t>
      </w:r>
      <w:r w:rsidR="006601F3" w:rsidRPr="006601F3">
        <w:rPr>
          <w:sz w:val="27"/>
          <w:szCs w:val="27"/>
        </w:rPr>
        <w:t xml:space="preserve"> </w:t>
      </w:r>
      <w:r w:rsidR="006601F3">
        <w:rPr>
          <w:sz w:val="27"/>
          <w:szCs w:val="27"/>
        </w:rPr>
        <w:t xml:space="preserve">исполнения местного бюджета в </w:t>
      </w:r>
      <w:r w:rsidR="006C35C3">
        <w:rPr>
          <w:sz w:val="27"/>
          <w:szCs w:val="27"/>
        </w:rPr>
        <w:t xml:space="preserve">2013 и </w:t>
      </w:r>
      <w:r w:rsidR="006601F3">
        <w:rPr>
          <w:sz w:val="27"/>
          <w:szCs w:val="27"/>
        </w:rPr>
        <w:t>2014 год</w:t>
      </w:r>
      <w:r w:rsidR="006C35C3">
        <w:rPr>
          <w:sz w:val="27"/>
          <w:szCs w:val="27"/>
        </w:rPr>
        <w:t>ах</w:t>
      </w:r>
      <w:r w:rsidR="006601F3">
        <w:rPr>
          <w:sz w:val="27"/>
          <w:szCs w:val="27"/>
        </w:rPr>
        <w:t xml:space="preserve"> в части </w:t>
      </w:r>
      <w:r w:rsidR="006601F3" w:rsidRPr="006601F3">
        <w:rPr>
          <w:sz w:val="27"/>
          <w:szCs w:val="27"/>
        </w:rPr>
        <w:t xml:space="preserve">безвозмездных поступлений </w:t>
      </w:r>
      <w:r w:rsidR="006601F3">
        <w:rPr>
          <w:sz w:val="27"/>
          <w:szCs w:val="27"/>
        </w:rPr>
        <w:t>представлен ниже:</w:t>
      </w:r>
    </w:p>
    <w:p w:rsidR="00542B4A" w:rsidRDefault="00542B4A" w:rsidP="00542B4A">
      <w:pPr>
        <w:tabs>
          <w:tab w:val="left" w:pos="1080"/>
        </w:tabs>
        <w:ind w:firstLine="709"/>
        <w:jc w:val="right"/>
        <w:rPr>
          <w:sz w:val="27"/>
          <w:szCs w:val="27"/>
        </w:rPr>
      </w:pPr>
      <w:r w:rsidRPr="00F56EA0">
        <w:rPr>
          <w:sz w:val="22"/>
          <w:szCs w:val="22"/>
        </w:rPr>
        <w:t>тыс.рублей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275"/>
        <w:gridCol w:w="1276"/>
        <w:gridCol w:w="992"/>
        <w:gridCol w:w="1314"/>
        <w:gridCol w:w="822"/>
      </w:tblGrid>
      <w:tr w:rsidR="00D27B6F" w:rsidRPr="00F56EA0" w:rsidTr="00FE55A9">
        <w:tc>
          <w:tcPr>
            <w:tcW w:w="2518" w:type="dxa"/>
            <w:vMerge w:val="restart"/>
            <w:shd w:val="clear" w:color="auto" w:fill="auto"/>
            <w:vAlign w:val="center"/>
          </w:tcPr>
          <w:p w:rsidR="00542B4A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Наименование</w:t>
            </w:r>
          </w:p>
          <w:p w:rsidR="00D27B6F" w:rsidRPr="00F56EA0" w:rsidRDefault="00542B4A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  <w:r w:rsidR="00D27B6F" w:rsidRPr="00F56E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Поступило</w:t>
            </w:r>
          </w:p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в 201</w:t>
            </w:r>
            <w:r>
              <w:rPr>
                <w:sz w:val="20"/>
                <w:szCs w:val="20"/>
              </w:rPr>
              <w:t>3</w:t>
            </w:r>
          </w:p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году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F56EA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к 201</w:t>
            </w:r>
            <w:r>
              <w:rPr>
                <w:sz w:val="20"/>
                <w:szCs w:val="20"/>
              </w:rPr>
              <w:t>3</w:t>
            </w:r>
            <w:r w:rsidRPr="00F56EA0">
              <w:rPr>
                <w:sz w:val="20"/>
                <w:szCs w:val="20"/>
              </w:rPr>
              <w:t xml:space="preserve"> году</w:t>
            </w:r>
          </w:p>
        </w:tc>
      </w:tr>
      <w:tr w:rsidR="00542B4A" w:rsidRPr="00F56EA0" w:rsidTr="00FE55A9">
        <w:tc>
          <w:tcPr>
            <w:tcW w:w="2518" w:type="dxa"/>
            <w:vMerge/>
            <w:shd w:val="clear" w:color="auto" w:fill="auto"/>
          </w:tcPr>
          <w:p w:rsidR="00D27B6F" w:rsidRPr="00F56EA0" w:rsidRDefault="00D27B6F" w:rsidP="00C204D8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уточнён.</w:t>
            </w:r>
          </w:p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% исполн.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сумма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27B6F" w:rsidRPr="00F56EA0" w:rsidRDefault="00D27B6F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F56EA0">
              <w:rPr>
                <w:sz w:val="20"/>
                <w:szCs w:val="20"/>
              </w:rPr>
              <w:t>в %</w:t>
            </w:r>
          </w:p>
        </w:tc>
      </w:tr>
      <w:tr w:rsidR="00542B4A" w:rsidRPr="00F56EA0" w:rsidTr="00FE55A9">
        <w:tc>
          <w:tcPr>
            <w:tcW w:w="2518" w:type="dxa"/>
            <w:shd w:val="clear" w:color="auto" w:fill="auto"/>
            <w:vAlign w:val="bottom"/>
          </w:tcPr>
          <w:p w:rsidR="00D27B6F" w:rsidRPr="00D27B6F" w:rsidRDefault="00D27B6F" w:rsidP="00D27B6F">
            <w:pPr>
              <w:jc w:val="both"/>
              <w:rPr>
                <w:sz w:val="22"/>
                <w:szCs w:val="22"/>
              </w:rPr>
            </w:pPr>
            <w:r w:rsidRPr="00D27B6F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7B6F" w:rsidRPr="00D27B6F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B6F" w:rsidRPr="00D27B6F" w:rsidRDefault="00D27B6F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3 562,5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B6F" w:rsidRPr="00D27B6F" w:rsidRDefault="00D27B6F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3 562,5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B6F" w:rsidRPr="00D27B6F" w:rsidRDefault="00D27B6F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27B6F" w:rsidRPr="00D27B6F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-1 437,5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27B6F" w:rsidRPr="00D27B6F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71,25</w:t>
            </w:r>
          </w:p>
        </w:tc>
      </w:tr>
      <w:tr w:rsidR="00542B4A" w:rsidRPr="00F56EA0" w:rsidTr="00FE55A9">
        <w:tc>
          <w:tcPr>
            <w:tcW w:w="2518" w:type="dxa"/>
            <w:shd w:val="clear" w:color="auto" w:fill="auto"/>
          </w:tcPr>
          <w:p w:rsidR="00D27B6F" w:rsidRPr="00D27B6F" w:rsidRDefault="008A33C6" w:rsidP="008A33C6">
            <w:pPr>
              <w:jc w:val="both"/>
              <w:rPr>
                <w:sz w:val="22"/>
                <w:szCs w:val="22"/>
              </w:rPr>
            </w:pPr>
            <w:r w:rsidRPr="00D27B6F">
              <w:rPr>
                <w:sz w:val="22"/>
                <w:szCs w:val="22"/>
              </w:rPr>
              <w:t>Субсидии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7B6F" w:rsidRPr="00D27B6F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375 981,4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B6F" w:rsidRPr="00D27B6F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413 480,9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B6F" w:rsidRPr="00D27B6F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270 703,6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B6F" w:rsidRPr="00D27B6F" w:rsidRDefault="008A33C6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65,47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27B6F" w:rsidRPr="00D27B6F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-105 277,8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27B6F" w:rsidRPr="00D27B6F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71,99</w:t>
            </w:r>
          </w:p>
        </w:tc>
      </w:tr>
      <w:tr w:rsidR="00542B4A" w:rsidRPr="00F56EA0" w:rsidTr="00FE55A9">
        <w:trPr>
          <w:trHeight w:val="257"/>
        </w:trPr>
        <w:tc>
          <w:tcPr>
            <w:tcW w:w="2518" w:type="dxa"/>
            <w:shd w:val="clear" w:color="auto" w:fill="auto"/>
          </w:tcPr>
          <w:p w:rsidR="00D27B6F" w:rsidRPr="00D27B6F" w:rsidRDefault="008A33C6" w:rsidP="008A33C6">
            <w:pPr>
              <w:jc w:val="both"/>
              <w:rPr>
                <w:sz w:val="22"/>
                <w:szCs w:val="22"/>
              </w:rPr>
            </w:pPr>
            <w:r w:rsidRPr="00D27B6F">
              <w:rPr>
                <w:sz w:val="22"/>
                <w:szCs w:val="22"/>
              </w:rPr>
              <w:t>Субвенции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7B6F" w:rsidRPr="00D27B6F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1 390 107,9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B6F" w:rsidRPr="00D27B6F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1 825 922,7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B6F" w:rsidRPr="00D27B6F" w:rsidRDefault="008A33C6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1 822 804,4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B6F" w:rsidRPr="00D27B6F" w:rsidRDefault="008A33C6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99,83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D27B6F" w:rsidRPr="00D27B6F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+432 696,5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D27B6F" w:rsidRPr="00D27B6F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131,12</w:t>
            </w:r>
          </w:p>
        </w:tc>
      </w:tr>
      <w:tr w:rsidR="00542B4A" w:rsidRPr="00F56EA0" w:rsidTr="00FE55A9">
        <w:tc>
          <w:tcPr>
            <w:tcW w:w="2518" w:type="dxa"/>
            <w:shd w:val="clear" w:color="auto" w:fill="auto"/>
          </w:tcPr>
          <w:p w:rsidR="008A33C6" w:rsidRPr="00D27B6F" w:rsidRDefault="008A33C6" w:rsidP="00D27B6F">
            <w:pPr>
              <w:jc w:val="both"/>
              <w:rPr>
                <w:sz w:val="22"/>
                <w:szCs w:val="22"/>
              </w:rPr>
            </w:pPr>
            <w:r w:rsidRPr="00D27B6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3C6" w:rsidRPr="00D27B6F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51 362,6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3C6" w:rsidRPr="00D27B6F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45 460,8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3C6" w:rsidRPr="00D27B6F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36 242,3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3C6" w:rsidRPr="00D27B6F" w:rsidRDefault="008A33C6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79,72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8A33C6" w:rsidRPr="00D27B6F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-15 120,3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A33C6" w:rsidRPr="00D27B6F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70,56</w:t>
            </w:r>
          </w:p>
        </w:tc>
      </w:tr>
      <w:tr w:rsidR="00542B4A" w:rsidRPr="008A33C6" w:rsidTr="00FE55A9">
        <w:tc>
          <w:tcPr>
            <w:tcW w:w="2518" w:type="dxa"/>
            <w:shd w:val="clear" w:color="auto" w:fill="auto"/>
          </w:tcPr>
          <w:p w:rsidR="008A33C6" w:rsidRPr="008A33C6" w:rsidRDefault="008A33C6" w:rsidP="00D27B6F">
            <w:pPr>
              <w:jc w:val="both"/>
              <w:rPr>
                <w:sz w:val="22"/>
                <w:szCs w:val="22"/>
              </w:rPr>
            </w:pPr>
            <w:r w:rsidRPr="008A33C6">
              <w:rPr>
                <w:sz w:val="22"/>
                <w:szCs w:val="22"/>
              </w:rPr>
              <w:t xml:space="preserve">Прочие безвозмездные поступления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3C6" w:rsidRPr="008A33C6" w:rsidRDefault="008A33C6" w:rsidP="00C204D8">
            <w:pPr>
              <w:jc w:val="right"/>
              <w:rPr>
                <w:sz w:val="22"/>
                <w:szCs w:val="22"/>
              </w:rPr>
            </w:pPr>
            <w:r w:rsidRPr="008A33C6">
              <w:rPr>
                <w:sz w:val="22"/>
                <w:szCs w:val="22"/>
              </w:rPr>
              <w:t>243 988,5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3C6" w:rsidRPr="008A33C6" w:rsidRDefault="008A33C6" w:rsidP="00C204D8">
            <w:pPr>
              <w:jc w:val="right"/>
              <w:rPr>
                <w:sz w:val="22"/>
                <w:szCs w:val="22"/>
              </w:rPr>
            </w:pPr>
            <w:r w:rsidRPr="008A33C6">
              <w:rPr>
                <w:sz w:val="22"/>
                <w:szCs w:val="22"/>
              </w:rPr>
              <w:t>193 823,3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3C6" w:rsidRPr="008A33C6" w:rsidRDefault="008A33C6" w:rsidP="00C204D8">
            <w:pPr>
              <w:jc w:val="right"/>
              <w:rPr>
                <w:sz w:val="22"/>
                <w:szCs w:val="22"/>
              </w:rPr>
            </w:pPr>
            <w:r w:rsidRPr="008A33C6">
              <w:rPr>
                <w:sz w:val="22"/>
                <w:szCs w:val="22"/>
              </w:rPr>
              <w:t>193 823,3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3C6" w:rsidRPr="008A33C6" w:rsidRDefault="008A33C6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8A33C6" w:rsidRPr="008A33C6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-50 165,2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A33C6" w:rsidRPr="008A33C6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79,43</w:t>
            </w:r>
          </w:p>
        </w:tc>
      </w:tr>
      <w:tr w:rsidR="00542B4A" w:rsidRPr="008A33C6" w:rsidTr="00FE55A9">
        <w:tc>
          <w:tcPr>
            <w:tcW w:w="2518" w:type="dxa"/>
            <w:shd w:val="clear" w:color="auto" w:fill="auto"/>
          </w:tcPr>
          <w:p w:rsidR="008A33C6" w:rsidRPr="008A33C6" w:rsidRDefault="008A33C6" w:rsidP="00D27B6F">
            <w:pPr>
              <w:jc w:val="both"/>
              <w:rPr>
                <w:sz w:val="22"/>
                <w:szCs w:val="22"/>
              </w:rPr>
            </w:pPr>
            <w:r w:rsidRPr="008A33C6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3C6" w:rsidRPr="008A33C6" w:rsidRDefault="008A33C6" w:rsidP="00C204D8">
            <w:pPr>
              <w:jc w:val="right"/>
              <w:rPr>
                <w:sz w:val="22"/>
                <w:szCs w:val="22"/>
              </w:rPr>
            </w:pPr>
            <w:r w:rsidRPr="008A33C6">
              <w:rPr>
                <w:sz w:val="22"/>
                <w:szCs w:val="22"/>
              </w:rPr>
              <w:t>441,1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3C6" w:rsidRPr="008A33C6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3C6" w:rsidRPr="008A33C6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3C6" w:rsidRPr="008A33C6" w:rsidRDefault="008A33C6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8A33C6" w:rsidRPr="008A33C6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-416,6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A33C6" w:rsidRPr="008A33C6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5,55</w:t>
            </w:r>
          </w:p>
        </w:tc>
      </w:tr>
      <w:tr w:rsidR="00542B4A" w:rsidRPr="008A33C6" w:rsidTr="00FE55A9">
        <w:tc>
          <w:tcPr>
            <w:tcW w:w="2518" w:type="dxa"/>
            <w:shd w:val="clear" w:color="auto" w:fill="auto"/>
            <w:vAlign w:val="bottom"/>
          </w:tcPr>
          <w:p w:rsidR="008A33C6" w:rsidRPr="008A33C6" w:rsidRDefault="008A33C6" w:rsidP="00D27B6F">
            <w:pPr>
              <w:jc w:val="both"/>
              <w:rPr>
                <w:sz w:val="22"/>
                <w:szCs w:val="22"/>
              </w:rPr>
            </w:pPr>
            <w:r w:rsidRPr="008A33C6">
              <w:rPr>
                <w:sz w:val="22"/>
                <w:szCs w:val="22"/>
              </w:rPr>
              <w:t>Возврат остатков субсидий, субвенций и иных межбюджетных трансфертов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3C6" w:rsidRPr="008A33C6" w:rsidRDefault="008A33C6" w:rsidP="008A33C6">
            <w:pPr>
              <w:jc w:val="right"/>
              <w:rPr>
                <w:sz w:val="22"/>
                <w:szCs w:val="22"/>
              </w:rPr>
            </w:pPr>
            <w:r w:rsidRPr="008A33C6">
              <w:rPr>
                <w:sz w:val="22"/>
                <w:szCs w:val="22"/>
              </w:rPr>
              <w:t>-377,1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3C6" w:rsidRPr="008A33C6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3C6" w:rsidRPr="008A33C6" w:rsidRDefault="008A33C6" w:rsidP="00C20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-9 166,3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3C6" w:rsidRPr="008A33C6" w:rsidRDefault="008A33C6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8A33C6" w:rsidRPr="008A33C6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-8 789,2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A33C6" w:rsidRPr="008A33C6" w:rsidRDefault="00542B4A" w:rsidP="00C204D8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A33C6" w:rsidRPr="00D27B6F" w:rsidTr="00FE55A9">
        <w:tc>
          <w:tcPr>
            <w:tcW w:w="2518" w:type="dxa"/>
            <w:shd w:val="clear" w:color="auto" w:fill="auto"/>
            <w:vAlign w:val="bottom"/>
          </w:tcPr>
          <w:p w:rsidR="008A33C6" w:rsidRPr="00D27B6F" w:rsidRDefault="008A33C6" w:rsidP="00542B4A">
            <w:pPr>
              <w:rPr>
                <w:b/>
                <w:sz w:val="22"/>
                <w:szCs w:val="22"/>
              </w:rPr>
            </w:pPr>
            <w:r w:rsidRPr="00D27B6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3C6" w:rsidRPr="00D27B6F" w:rsidRDefault="008A33C6" w:rsidP="00C204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2 066 504,4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3C6" w:rsidRPr="00D27B6F" w:rsidRDefault="008A33C6" w:rsidP="00C204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2 482 250,2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3C6" w:rsidRPr="00D27B6F" w:rsidRDefault="008A33C6" w:rsidP="00C204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2 317 994,3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3C6" w:rsidRPr="00D27B6F" w:rsidRDefault="008A33C6" w:rsidP="00C204D8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93,38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8A33C6" w:rsidRPr="00D27B6F" w:rsidRDefault="00542B4A" w:rsidP="00C204D8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+251 489,9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A33C6" w:rsidRPr="00D27B6F" w:rsidRDefault="00542B4A" w:rsidP="00C204D8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112,17</w:t>
            </w:r>
          </w:p>
        </w:tc>
      </w:tr>
    </w:tbl>
    <w:p w:rsidR="00924E0E" w:rsidRPr="00571DBF" w:rsidRDefault="00924E0E" w:rsidP="00C54A0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571DBF">
        <w:rPr>
          <w:sz w:val="27"/>
          <w:szCs w:val="27"/>
        </w:rPr>
        <w:t xml:space="preserve">В структуре безвозмездных поступлений </w:t>
      </w:r>
      <w:r w:rsidR="00FE55A9">
        <w:rPr>
          <w:sz w:val="27"/>
          <w:szCs w:val="27"/>
        </w:rPr>
        <w:t xml:space="preserve">2014 года </w:t>
      </w:r>
      <w:r w:rsidRPr="00571DBF">
        <w:rPr>
          <w:sz w:val="27"/>
          <w:szCs w:val="27"/>
        </w:rPr>
        <w:t xml:space="preserve">наибольший удельный вес занимают субвенции бюджетам муниципальных образований – </w:t>
      </w:r>
      <w:r w:rsidR="00593C9C">
        <w:rPr>
          <w:sz w:val="27"/>
          <w:szCs w:val="27"/>
        </w:rPr>
        <w:t>78,63</w:t>
      </w:r>
      <w:r w:rsidRPr="00571DBF">
        <w:rPr>
          <w:sz w:val="27"/>
          <w:szCs w:val="27"/>
        </w:rPr>
        <w:t>%.</w:t>
      </w:r>
    </w:p>
    <w:p w:rsidR="00924E0E" w:rsidRPr="00D1178E" w:rsidRDefault="00A33FD2" w:rsidP="00C54A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924E0E" w:rsidRPr="00A33FD2">
        <w:rPr>
          <w:b/>
          <w:sz w:val="27"/>
          <w:szCs w:val="27"/>
        </w:rPr>
        <w:t>. И</w:t>
      </w:r>
      <w:r w:rsidR="00924E0E" w:rsidRPr="00A33FD2">
        <w:rPr>
          <w:b/>
          <w:bCs/>
          <w:iCs/>
          <w:sz w:val="27"/>
          <w:szCs w:val="27"/>
        </w:rPr>
        <w:t>сполнение расходной части местного бюджета</w:t>
      </w:r>
      <w:r w:rsidR="000B7C0E" w:rsidRPr="000B7C0E">
        <w:rPr>
          <w:b/>
          <w:bCs/>
          <w:iCs/>
          <w:sz w:val="27"/>
          <w:szCs w:val="27"/>
          <w:shd w:val="clear" w:color="auto" w:fill="FFFF00"/>
        </w:rPr>
        <w:t xml:space="preserve"> </w:t>
      </w:r>
    </w:p>
    <w:p w:rsidR="00605C84" w:rsidRDefault="00605C84" w:rsidP="00C54A0B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Первоначальным решением показатели расходов бюджета города на 2014 год утверждены в сумме 3 872 905,8 тыс.рублей. В ходе исполнения бюджета план по расходам корректировался, в результате чего расходы увеличены</w:t>
      </w:r>
      <w:r w:rsidR="00F5301B">
        <w:rPr>
          <w:sz w:val="27"/>
          <w:szCs w:val="27"/>
        </w:rPr>
        <w:t xml:space="preserve"> на </w:t>
      </w:r>
      <w:r w:rsidR="00F5301B">
        <w:rPr>
          <w:sz w:val="27"/>
          <w:szCs w:val="27"/>
        </w:rPr>
        <w:lastRenderedPageBreak/>
        <w:t>689 057,7 тыс.рублей и составили 4 561 963,5 тыс.рублей.</w:t>
      </w:r>
    </w:p>
    <w:p w:rsidR="006C35C3" w:rsidRDefault="00924E0E" w:rsidP="00C54A0B">
      <w:pPr>
        <w:widowControl w:val="0"/>
        <w:ind w:firstLine="709"/>
        <w:jc w:val="both"/>
        <w:rPr>
          <w:sz w:val="27"/>
          <w:szCs w:val="27"/>
        </w:rPr>
      </w:pPr>
      <w:r w:rsidRPr="00D1178E">
        <w:rPr>
          <w:sz w:val="27"/>
          <w:szCs w:val="27"/>
        </w:rPr>
        <w:t xml:space="preserve">Исполнение местного бюджета по расходам составило </w:t>
      </w:r>
      <w:r w:rsidR="000301EF">
        <w:rPr>
          <w:sz w:val="27"/>
          <w:szCs w:val="27"/>
        </w:rPr>
        <w:t>3 848 056,5</w:t>
      </w:r>
      <w:r w:rsidR="00BD7F44">
        <w:rPr>
          <w:sz w:val="27"/>
          <w:szCs w:val="27"/>
        </w:rPr>
        <w:t xml:space="preserve"> тыс.рублей</w:t>
      </w:r>
      <w:r w:rsidRPr="00D1178E">
        <w:rPr>
          <w:sz w:val="27"/>
          <w:szCs w:val="27"/>
        </w:rPr>
        <w:t xml:space="preserve"> или </w:t>
      </w:r>
      <w:r w:rsidR="000301EF">
        <w:rPr>
          <w:sz w:val="27"/>
          <w:szCs w:val="27"/>
        </w:rPr>
        <w:t>84,35</w:t>
      </w:r>
      <w:r w:rsidRPr="00D1178E">
        <w:rPr>
          <w:sz w:val="27"/>
          <w:szCs w:val="27"/>
        </w:rPr>
        <w:t>% к уточнённому плану</w:t>
      </w:r>
      <w:r w:rsidR="000301EF">
        <w:rPr>
          <w:sz w:val="27"/>
          <w:szCs w:val="27"/>
        </w:rPr>
        <w:t>.</w:t>
      </w:r>
      <w:r w:rsidRPr="00D1178E">
        <w:rPr>
          <w:sz w:val="27"/>
          <w:szCs w:val="27"/>
        </w:rPr>
        <w:t xml:space="preserve"> </w:t>
      </w:r>
      <w:r w:rsidR="00BD7F44">
        <w:rPr>
          <w:sz w:val="27"/>
          <w:szCs w:val="27"/>
        </w:rPr>
        <w:t xml:space="preserve">Относительно 2013 года сумма исполненных расходов бюджета города увеличилась на 251 076,9 тыс.рублей или на </w:t>
      </w:r>
      <w:r w:rsidR="00A25CEF">
        <w:rPr>
          <w:sz w:val="27"/>
          <w:szCs w:val="27"/>
        </w:rPr>
        <w:t>6,98%.</w:t>
      </w:r>
      <w:r w:rsidR="006C35C3">
        <w:rPr>
          <w:sz w:val="27"/>
          <w:szCs w:val="27"/>
        </w:rPr>
        <w:t xml:space="preserve"> </w:t>
      </w:r>
    </w:p>
    <w:p w:rsidR="000301EF" w:rsidRDefault="006C35C3" w:rsidP="00C54A0B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Основные показатели исполнения бюджета города по расходам в 2014 году в сравнении с 2013 годом представлен</w:t>
      </w:r>
      <w:r w:rsidR="00C80DE8">
        <w:rPr>
          <w:sz w:val="27"/>
          <w:szCs w:val="27"/>
        </w:rPr>
        <w:t>ы</w:t>
      </w:r>
      <w:r>
        <w:rPr>
          <w:sz w:val="27"/>
          <w:szCs w:val="27"/>
        </w:rPr>
        <w:t xml:space="preserve"> в таблице:</w:t>
      </w:r>
    </w:p>
    <w:p w:rsidR="006C35C3" w:rsidRPr="006C35C3" w:rsidRDefault="006C35C3" w:rsidP="006C35C3">
      <w:pPr>
        <w:widowControl w:val="0"/>
        <w:ind w:firstLine="709"/>
        <w:jc w:val="right"/>
        <w:rPr>
          <w:sz w:val="22"/>
          <w:szCs w:val="22"/>
        </w:rPr>
      </w:pPr>
      <w:r w:rsidRPr="006C35C3">
        <w:rPr>
          <w:sz w:val="22"/>
          <w:szCs w:val="22"/>
        </w:rPr>
        <w:t>тыс.рублей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6"/>
        <w:gridCol w:w="1275"/>
        <w:gridCol w:w="851"/>
        <w:gridCol w:w="1276"/>
        <w:gridCol w:w="1098"/>
      </w:tblGrid>
      <w:tr w:rsidR="006C35C3" w:rsidRPr="00C316BE" w:rsidTr="00C204D8">
        <w:tc>
          <w:tcPr>
            <w:tcW w:w="2410" w:type="dxa"/>
            <w:vMerge w:val="restart"/>
            <w:shd w:val="clear" w:color="auto" w:fill="auto"/>
            <w:vAlign w:val="center"/>
          </w:tcPr>
          <w:p w:rsidR="006C35C3" w:rsidRPr="00C316BE" w:rsidRDefault="006C35C3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 xml:space="preserve">Наименование </w:t>
            </w:r>
          </w:p>
          <w:p w:rsidR="006C35C3" w:rsidRPr="00C316BE" w:rsidRDefault="006C35C3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раздела классификации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35C3" w:rsidRPr="00C316BE" w:rsidRDefault="006C35C3" w:rsidP="00C204D8">
            <w:pPr>
              <w:tabs>
                <w:tab w:val="left" w:pos="1080"/>
              </w:tabs>
              <w:ind w:left="-108"/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Исполнение</w:t>
            </w:r>
          </w:p>
          <w:p w:rsidR="006C35C3" w:rsidRPr="00C316BE" w:rsidRDefault="006C35C3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в 201</w:t>
            </w:r>
            <w:r>
              <w:rPr>
                <w:sz w:val="20"/>
                <w:szCs w:val="20"/>
              </w:rPr>
              <w:t>3</w:t>
            </w:r>
          </w:p>
          <w:p w:rsidR="006C35C3" w:rsidRPr="00C316BE" w:rsidRDefault="006C35C3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году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C35C3" w:rsidRPr="00C316BE" w:rsidRDefault="006C35C3" w:rsidP="006C35C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C316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6C35C3" w:rsidRPr="00C316BE" w:rsidRDefault="006C35C3" w:rsidP="006C35C3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к 20</w:t>
            </w:r>
            <w:r>
              <w:rPr>
                <w:sz w:val="20"/>
                <w:szCs w:val="20"/>
              </w:rPr>
              <w:t>13</w:t>
            </w:r>
            <w:r w:rsidRPr="00C316BE">
              <w:rPr>
                <w:sz w:val="20"/>
                <w:szCs w:val="20"/>
              </w:rPr>
              <w:t xml:space="preserve"> году</w:t>
            </w:r>
          </w:p>
        </w:tc>
      </w:tr>
      <w:tr w:rsidR="006C35C3" w:rsidRPr="00C316BE" w:rsidTr="00C204D8">
        <w:tc>
          <w:tcPr>
            <w:tcW w:w="2410" w:type="dxa"/>
            <w:vMerge/>
            <w:shd w:val="clear" w:color="auto" w:fill="auto"/>
          </w:tcPr>
          <w:p w:rsidR="006C35C3" w:rsidRPr="00C316BE" w:rsidRDefault="006C35C3" w:rsidP="00C204D8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35C3" w:rsidRPr="00C316BE" w:rsidRDefault="006C35C3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5C3" w:rsidRPr="00C316BE" w:rsidRDefault="006C35C3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уточнённый</w:t>
            </w:r>
          </w:p>
          <w:p w:rsidR="006C35C3" w:rsidRPr="00C316BE" w:rsidRDefault="006C35C3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план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35C3" w:rsidRPr="00C316BE" w:rsidRDefault="006C35C3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исполнение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5C3" w:rsidRPr="00C316BE" w:rsidRDefault="006C35C3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% исполн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5C3" w:rsidRPr="00C316BE" w:rsidRDefault="006C35C3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сумма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C35C3" w:rsidRPr="00C316BE" w:rsidRDefault="006C35C3" w:rsidP="00C204D8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16BE">
              <w:rPr>
                <w:sz w:val="20"/>
                <w:szCs w:val="20"/>
              </w:rPr>
              <w:t>в %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jc w:val="both"/>
              <w:rPr>
                <w:sz w:val="22"/>
                <w:szCs w:val="22"/>
              </w:rPr>
            </w:pPr>
            <w:r w:rsidRPr="00C316B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215 041,7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256 223,2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246 448,8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96,19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+31 407,1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114,61</w:t>
            </w:r>
          </w:p>
        </w:tc>
      </w:tr>
      <w:tr w:rsidR="00C204D8" w:rsidRPr="00C316BE" w:rsidTr="00B034B4">
        <w:trPr>
          <w:trHeight w:val="85"/>
        </w:trPr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C204D8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-53,5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74,87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безопас-ность и правоохрани-тельная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22 007,6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32 573,2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24 827,3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D72AAF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0D4F86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+2 819,7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112,81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172 489,7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216 392,9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193 989,8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+21 500,</w:t>
            </w:r>
            <w:r w:rsidR="000D4F86"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112,46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Жилищно-коммуналь</w:t>
            </w:r>
            <w:r>
              <w:rPr>
                <w:sz w:val="22"/>
                <w:szCs w:val="22"/>
              </w:rPr>
              <w:t>-</w:t>
            </w:r>
            <w:r w:rsidRPr="00C316BE">
              <w:rPr>
                <w:sz w:val="22"/>
                <w:szCs w:val="22"/>
              </w:rPr>
              <w:t>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472 831,1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588 757,7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452 281,6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EE3991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204D8">
              <w:rPr>
                <w:sz w:val="22"/>
                <w:szCs w:val="22"/>
              </w:rPr>
              <w:t>20 549,5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95,65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953,3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489 972,6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-927,5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2,71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ind w:left="-30"/>
              <w:jc w:val="right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1 506 819,3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ind w:left="-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1 598 834,0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C204D8" w:rsidP="00B034B4">
            <w:pPr>
              <w:ind w:left="-3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1 575 132,6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+68 313,3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104,53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91 978,8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133 423,6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127 926,2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+35 947,4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139,08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68 848,8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90 643,1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EE3991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79 486,4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+10 637,6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115,45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1 013 059,4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1 116 703,9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1 109 514,9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+96 455,5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109,52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 w:rsidRPr="00C316BE">
              <w:rPr>
                <w:sz w:val="22"/>
                <w:szCs w:val="22"/>
              </w:rPr>
              <w:t>32 737,0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38 226,6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38 216,0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+5 479,0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116,74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B034B4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</w:t>
            </w:r>
            <w:r w:rsidR="00C80DE8">
              <w:rPr>
                <w:sz w:val="22"/>
                <w:szCs w:val="22"/>
              </w:rPr>
              <w:t xml:space="preserve">государственного и </w:t>
            </w:r>
            <w:r>
              <w:rPr>
                <w:sz w:val="22"/>
                <w:szCs w:val="22"/>
              </w:rPr>
              <w:t>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Default="00C204D8" w:rsidP="00B034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+47,7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Default="00C204D8" w:rsidP="00B034B4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04D8" w:rsidRPr="00C316BE" w:rsidTr="00C204D8">
        <w:tc>
          <w:tcPr>
            <w:tcW w:w="2410" w:type="dxa"/>
            <w:shd w:val="clear" w:color="auto" w:fill="auto"/>
          </w:tcPr>
          <w:p w:rsidR="00C204D8" w:rsidRPr="00C316BE" w:rsidRDefault="00C204D8" w:rsidP="00C204D8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C316BE">
              <w:rPr>
                <w:b/>
                <w:sz w:val="22"/>
                <w:szCs w:val="22"/>
              </w:rPr>
              <w:t>Итого расходы: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EE3991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 w:rsidRPr="00C316BE">
              <w:rPr>
                <w:b/>
                <w:sz w:val="22"/>
                <w:szCs w:val="22"/>
              </w:rPr>
              <w:t>3 596 979,6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C204D8" w:rsidP="00EE3991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4 561 963,5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4D8" w:rsidRPr="00C316BE" w:rsidRDefault="00C204D8" w:rsidP="00EE3991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3 848 056,5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4D8" w:rsidRPr="00C316BE" w:rsidRDefault="00C204D8" w:rsidP="00EE3991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4D8" w:rsidRPr="00C316BE" w:rsidRDefault="000D4F86" w:rsidP="00EE3991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+251 076,9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04D8" w:rsidRPr="00C316BE" w:rsidRDefault="00C204D8" w:rsidP="00EE3991">
            <w:pPr>
              <w:tabs>
                <w:tab w:val="left" w:pos="10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106,98</w:t>
            </w:r>
          </w:p>
        </w:tc>
      </w:tr>
    </w:tbl>
    <w:p w:rsidR="00C80DE8" w:rsidRDefault="00C80DE8" w:rsidP="00C80DE8">
      <w:pPr>
        <w:widowControl w:val="0"/>
        <w:spacing w:before="60"/>
        <w:ind w:firstLine="709"/>
        <w:jc w:val="both"/>
        <w:rPr>
          <w:sz w:val="27"/>
          <w:szCs w:val="27"/>
        </w:rPr>
      </w:pPr>
      <w:r w:rsidRPr="00C80DE8">
        <w:rPr>
          <w:sz w:val="27"/>
          <w:szCs w:val="27"/>
        </w:rPr>
        <w:t>Не исполнены плановые назначения</w:t>
      </w:r>
      <w:r>
        <w:rPr>
          <w:sz w:val="27"/>
          <w:szCs w:val="27"/>
        </w:rPr>
        <w:t xml:space="preserve"> </w:t>
      </w:r>
      <w:r w:rsidR="00A33FD2">
        <w:rPr>
          <w:sz w:val="27"/>
          <w:szCs w:val="27"/>
        </w:rPr>
        <w:t>на</w:t>
      </w:r>
      <w:r>
        <w:rPr>
          <w:sz w:val="27"/>
          <w:szCs w:val="27"/>
        </w:rPr>
        <w:t xml:space="preserve"> общ</w:t>
      </w:r>
      <w:r w:rsidR="00A33FD2">
        <w:rPr>
          <w:sz w:val="27"/>
          <w:szCs w:val="27"/>
        </w:rPr>
        <w:t>ую</w:t>
      </w:r>
      <w:r>
        <w:rPr>
          <w:sz w:val="27"/>
          <w:szCs w:val="27"/>
        </w:rPr>
        <w:t xml:space="preserve"> сумм</w:t>
      </w:r>
      <w:r w:rsidR="00A33FD2">
        <w:rPr>
          <w:sz w:val="27"/>
          <w:szCs w:val="27"/>
        </w:rPr>
        <w:t>у</w:t>
      </w:r>
      <w:r>
        <w:rPr>
          <w:sz w:val="27"/>
          <w:szCs w:val="27"/>
        </w:rPr>
        <w:t xml:space="preserve"> 713 907,</w:t>
      </w:r>
      <w:r w:rsidR="00AA281D">
        <w:rPr>
          <w:sz w:val="27"/>
          <w:szCs w:val="27"/>
        </w:rPr>
        <w:t>0</w:t>
      </w:r>
      <w:r>
        <w:rPr>
          <w:sz w:val="27"/>
          <w:szCs w:val="27"/>
        </w:rPr>
        <w:t xml:space="preserve"> тыс.рублей по всем разделам, за исключением раздела 1300 «Обслуживание государственного и муниципального долга».</w:t>
      </w:r>
    </w:p>
    <w:p w:rsidR="00C95EB4" w:rsidRDefault="00C80DE8" w:rsidP="00C54A0B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Наибольший удельный вес в структуре расходов бюджета города в 2014 году занимают расходы на социально-культурную сферу</w:t>
      </w:r>
      <w:r w:rsidR="00C95EB4" w:rsidRPr="00C95EB4">
        <w:rPr>
          <w:sz w:val="27"/>
          <w:szCs w:val="27"/>
        </w:rPr>
        <w:t xml:space="preserve"> </w:t>
      </w:r>
      <w:r w:rsidR="00C95EB4">
        <w:rPr>
          <w:sz w:val="27"/>
          <w:szCs w:val="27"/>
        </w:rPr>
        <w:t>–</w:t>
      </w:r>
      <w:r w:rsidR="00C95EB4" w:rsidRPr="00C95EB4">
        <w:rPr>
          <w:sz w:val="27"/>
          <w:szCs w:val="27"/>
        </w:rPr>
        <w:t xml:space="preserve"> 7</w:t>
      </w:r>
      <w:r w:rsidR="00C95EB4">
        <w:rPr>
          <w:sz w:val="27"/>
          <w:szCs w:val="27"/>
        </w:rPr>
        <w:t>6,</w:t>
      </w:r>
      <w:r w:rsidR="00C95EB4" w:rsidRPr="00C95EB4">
        <w:rPr>
          <w:sz w:val="27"/>
          <w:szCs w:val="27"/>
        </w:rPr>
        <w:t>15%</w:t>
      </w:r>
      <w:r w:rsidR="00C95EB4">
        <w:rPr>
          <w:sz w:val="27"/>
          <w:szCs w:val="27"/>
        </w:rPr>
        <w:t xml:space="preserve"> и жилищно-коммунальное хозяйство – 11,75%.</w:t>
      </w:r>
    </w:p>
    <w:p w:rsidR="00346A51" w:rsidRPr="00D1178E" w:rsidRDefault="00924E0E" w:rsidP="00C54A0B">
      <w:pPr>
        <w:widowControl w:val="0"/>
        <w:ind w:firstLine="709"/>
        <w:jc w:val="both"/>
        <w:rPr>
          <w:sz w:val="27"/>
          <w:szCs w:val="27"/>
        </w:rPr>
      </w:pPr>
      <w:r w:rsidRPr="00D1178E">
        <w:rPr>
          <w:sz w:val="27"/>
          <w:szCs w:val="27"/>
        </w:rPr>
        <w:t xml:space="preserve">Исполнение расходов в соответствии с ведомственной структурой местного бюджета </w:t>
      </w:r>
      <w:r w:rsidR="00B034B4">
        <w:rPr>
          <w:sz w:val="27"/>
          <w:szCs w:val="27"/>
        </w:rPr>
        <w:t>в 2014 году</w:t>
      </w:r>
      <w:r w:rsidRPr="00D1178E">
        <w:rPr>
          <w:sz w:val="27"/>
          <w:szCs w:val="27"/>
        </w:rPr>
        <w:t xml:space="preserve"> осуществляли 12 главных распорядителей</w:t>
      </w:r>
      <w:r w:rsidR="00B034B4">
        <w:rPr>
          <w:sz w:val="27"/>
          <w:szCs w:val="27"/>
        </w:rPr>
        <w:t>.</w:t>
      </w:r>
      <w:r w:rsidRPr="00D1178E">
        <w:rPr>
          <w:sz w:val="27"/>
          <w:szCs w:val="27"/>
        </w:rPr>
        <w:t xml:space="preserve"> </w:t>
      </w:r>
      <w:r w:rsidR="00346A51">
        <w:rPr>
          <w:sz w:val="27"/>
          <w:szCs w:val="27"/>
        </w:rPr>
        <w:t xml:space="preserve">Наибольший </w:t>
      </w:r>
      <w:r w:rsidR="00346A51" w:rsidRPr="00D1178E">
        <w:rPr>
          <w:sz w:val="27"/>
          <w:szCs w:val="27"/>
        </w:rPr>
        <w:t>объём освоенных средств (</w:t>
      </w:r>
      <w:r w:rsidR="00346A51">
        <w:rPr>
          <w:sz w:val="27"/>
          <w:szCs w:val="27"/>
        </w:rPr>
        <w:t>3 389 402,6</w:t>
      </w:r>
      <w:r w:rsidR="00AA281D">
        <w:rPr>
          <w:sz w:val="27"/>
          <w:szCs w:val="27"/>
        </w:rPr>
        <w:t xml:space="preserve"> тыс.рублей</w:t>
      </w:r>
      <w:r w:rsidR="00346A51" w:rsidRPr="00D1178E">
        <w:rPr>
          <w:sz w:val="27"/>
          <w:szCs w:val="27"/>
        </w:rPr>
        <w:t xml:space="preserve"> или </w:t>
      </w:r>
      <w:r w:rsidR="00346A51">
        <w:rPr>
          <w:sz w:val="27"/>
          <w:szCs w:val="27"/>
        </w:rPr>
        <w:t>88,08</w:t>
      </w:r>
      <w:r w:rsidR="00346A51" w:rsidRPr="00D1178E">
        <w:rPr>
          <w:sz w:val="27"/>
          <w:szCs w:val="27"/>
        </w:rPr>
        <w:t>% от расходов бюджета города) приходится по итогам 201</w:t>
      </w:r>
      <w:r w:rsidR="00346A51">
        <w:rPr>
          <w:sz w:val="27"/>
          <w:szCs w:val="27"/>
        </w:rPr>
        <w:t>4</w:t>
      </w:r>
      <w:r w:rsidR="00346A51" w:rsidRPr="00D1178E">
        <w:rPr>
          <w:sz w:val="27"/>
          <w:szCs w:val="27"/>
        </w:rPr>
        <w:t xml:space="preserve"> года на 3 главных распорядителей: Управление образования г</w:t>
      </w:r>
      <w:r w:rsidR="00346A51">
        <w:rPr>
          <w:sz w:val="27"/>
          <w:szCs w:val="27"/>
        </w:rPr>
        <w:t>.Волгодонска (39,29</w:t>
      </w:r>
      <w:r w:rsidR="00346A51" w:rsidRPr="00D1178E">
        <w:rPr>
          <w:sz w:val="27"/>
          <w:szCs w:val="27"/>
        </w:rPr>
        <w:t>% общего объёма), Департамент труда и социального развития Администрации города Волгодонска (</w:t>
      </w:r>
      <w:r w:rsidR="00346A51">
        <w:rPr>
          <w:sz w:val="27"/>
          <w:szCs w:val="27"/>
        </w:rPr>
        <w:t>26,5</w:t>
      </w:r>
      <w:r w:rsidR="00A33FD2">
        <w:rPr>
          <w:sz w:val="27"/>
          <w:szCs w:val="27"/>
        </w:rPr>
        <w:t>7</w:t>
      </w:r>
      <w:r w:rsidR="00346A51" w:rsidRPr="00D1178E">
        <w:rPr>
          <w:sz w:val="27"/>
          <w:szCs w:val="27"/>
        </w:rPr>
        <w:t>%) и Администрация города Волгодонска (</w:t>
      </w:r>
      <w:r w:rsidR="00346A51">
        <w:rPr>
          <w:sz w:val="27"/>
          <w:szCs w:val="27"/>
        </w:rPr>
        <w:t>22,22</w:t>
      </w:r>
      <w:r w:rsidR="00346A51" w:rsidRPr="00D1178E">
        <w:rPr>
          <w:sz w:val="27"/>
          <w:szCs w:val="27"/>
        </w:rPr>
        <w:t xml:space="preserve">%). </w:t>
      </w:r>
    </w:p>
    <w:p w:rsidR="00346A51" w:rsidRDefault="00346A51" w:rsidP="00C54A0B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Ниже</w:t>
      </w:r>
      <w:r w:rsidRPr="00D1178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уровня исполнения расходной части бюджета города в целом </w:t>
      </w:r>
      <w:r w:rsidR="00A33FD2">
        <w:rPr>
          <w:sz w:val="27"/>
          <w:szCs w:val="27"/>
        </w:rPr>
        <w:t xml:space="preserve">(84,35%) </w:t>
      </w:r>
      <w:r>
        <w:rPr>
          <w:sz w:val="27"/>
          <w:szCs w:val="27"/>
        </w:rPr>
        <w:t xml:space="preserve">сложилось исполнение </w:t>
      </w:r>
      <w:r w:rsidRPr="00D1178E">
        <w:rPr>
          <w:sz w:val="27"/>
          <w:szCs w:val="27"/>
        </w:rPr>
        <w:t>плановых показателей</w:t>
      </w:r>
      <w:r>
        <w:rPr>
          <w:sz w:val="27"/>
          <w:szCs w:val="27"/>
        </w:rPr>
        <w:t xml:space="preserve"> по Администрации города Волгодонска (55,45%), незначительно выше</w:t>
      </w:r>
      <w:r w:rsidR="00E1624C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по Управлению здравоохранения г.Волгодонска (87,73%). </w:t>
      </w:r>
    </w:p>
    <w:p w:rsidR="00924E0E" w:rsidRPr="003B6093" w:rsidRDefault="00924E0E" w:rsidP="00C54A0B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3B6093">
        <w:rPr>
          <w:b/>
          <w:sz w:val="27"/>
          <w:szCs w:val="27"/>
        </w:rPr>
        <w:lastRenderedPageBreak/>
        <w:t xml:space="preserve">Анализ исполнения бюджета города </w:t>
      </w:r>
      <w:r w:rsidR="003B6093">
        <w:rPr>
          <w:b/>
          <w:sz w:val="27"/>
          <w:szCs w:val="27"/>
        </w:rPr>
        <w:t xml:space="preserve">за 2014 год </w:t>
      </w:r>
      <w:r w:rsidRPr="003B6093">
        <w:rPr>
          <w:b/>
          <w:sz w:val="27"/>
          <w:szCs w:val="27"/>
        </w:rPr>
        <w:t xml:space="preserve">по разделам </w:t>
      </w:r>
      <w:r w:rsidR="003B6093">
        <w:rPr>
          <w:b/>
          <w:sz w:val="27"/>
          <w:szCs w:val="27"/>
        </w:rPr>
        <w:t xml:space="preserve">функциональной </w:t>
      </w:r>
      <w:r w:rsidRPr="003B6093">
        <w:rPr>
          <w:b/>
          <w:sz w:val="27"/>
          <w:szCs w:val="27"/>
        </w:rPr>
        <w:t>классификации расходов</w:t>
      </w:r>
    </w:p>
    <w:p w:rsidR="003B6093" w:rsidRDefault="003B6093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Бюджетные ассигнования по разделу </w:t>
      </w:r>
      <w:r w:rsidRPr="003B6093">
        <w:rPr>
          <w:b/>
          <w:sz w:val="27"/>
          <w:szCs w:val="27"/>
        </w:rPr>
        <w:t>0100 «Общегосударственные вопросы»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утверждены в сумме 369 852,6 тыс.рублей. В результате внесённых в течение года изменений плановые назначения сократились на </w:t>
      </w:r>
      <w:r w:rsidR="00FE3D2B">
        <w:rPr>
          <w:sz w:val="27"/>
          <w:szCs w:val="27"/>
        </w:rPr>
        <w:t>113 629,4</w:t>
      </w:r>
      <w:r>
        <w:rPr>
          <w:sz w:val="27"/>
          <w:szCs w:val="27"/>
        </w:rPr>
        <w:t xml:space="preserve"> тыс.рублей и составили</w:t>
      </w:r>
      <w:r w:rsidR="00FE3D2B">
        <w:rPr>
          <w:sz w:val="27"/>
          <w:szCs w:val="27"/>
        </w:rPr>
        <w:t xml:space="preserve"> 256 223,2 тыс.рублей.</w:t>
      </w:r>
      <w:r w:rsidR="00971FA1">
        <w:rPr>
          <w:sz w:val="27"/>
          <w:szCs w:val="27"/>
        </w:rPr>
        <w:t xml:space="preserve"> Основной причиной сокращения расходов является перераспределение средств резерва для финансирования инвестиционных проектов.</w:t>
      </w:r>
    </w:p>
    <w:p w:rsidR="003B6093" w:rsidRDefault="00971FA1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Расходы исполнены в сумме 246 448,8 тыс.рублей </w:t>
      </w:r>
      <w:r w:rsidR="00DE529A">
        <w:rPr>
          <w:sz w:val="27"/>
          <w:szCs w:val="27"/>
        </w:rPr>
        <w:t>(</w:t>
      </w:r>
      <w:r>
        <w:rPr>
          <w:sz w:val="27"/>
          <w:szCs w:val="27"/>
        </w:rPr>
        <w:t>96,19% к уточнённому плану</w:t>
      </w:r>
      <w:r w:rsidR="00DE529A">
        <w:rPr>
          <w:sz w:val="27"/>
          <w:szCs w:val="27"/>
        </w:rPr>
        <w:t>) и занимают</w:t>
      </w:r>
      <w:r w:rsidR="00E1624C">
        <w:rPr>
          <w:sz w:val="27"/>
          <w:szCs w:val="27"/>
        </w:rPr>
        <w:t xml:space="preserve"> </w:t>
      </w:r>
      <w:r w:rsidR="00DE529A">
        <w:rPr>
          <w:sz w:val="27"/>
          <w:szCs w:val="27"/>
        </w:rPr>
        <w:t xml:space="preserve">6,41% </w:t>
      </w:r>
      <w:r w:rsidR="00E94FBC">
        <w:rPr>
          <w:sz w:val="27"/>
          <w:szCs w:val="27"/>
        </w:rPr>
        <w:t>в общем объёме расходов бюджета</w:t>
      </w:r>
      <w:r w:rsidR="00DE529A">
        <w:rPr>
          <w:sz w:val="27"/>
          <w:szCs w:val="27"/>
        </w:rPr>
        <w:t>.</w:t>
      </w:r>
      <w:r w:rsidR="00E94FBC">
        <w:rPr>
          <w:sz w:val="27"/>
          <w:szCs w:val="27"/>
        </w:rPr>
        <w:t xml:space="preserve"> </w:t>
      </w:r>
      <w:r w:rsidR="00E1624C">
        <w:rPr>
          <w:sz w:val="27"/>
          <w:szCs w:val="27"/>
        </w:rPr>
        <w:t>Темп роста к 2013 году составил 114,61%.</w:t>
      </w:r>
    </w:p>
    <w:p w:rsidR="00924E0E" w:rsidRPr="00D1178E" w:rsidRDefault="00924E0E" w:rsidP="00C54A0B">
      <w:pPr>
        <w:ind w:firstLine="709"/>
        <w:jc w:val="both"/>
        <w:rPr>
          <w:sz w:val="27"/>
          <w:szCs w:val="27"/>
        </w:rPr>
      </w:pPr>
      <w:r w:rsidRPr="00D1178E">
        <w:rPr>
          <w:sz w:val="27"/>
          <w:szCs w:val="27"/>
        </w:rPr>
        <w:t xml:space="preserve">Исполнение местного бюджета по разделу </w:t>
      </w:r>
      <w:r w:rsidRPr="00E94FBC">
        <w:rPr>
          <w:b/>
          <w:sz w:val="27"/>
          <w:szCs w:val="27"/>
        </w:rPr>
        <w:t>0200</w:t>
      </w:r>
      <w:r w:rsidRPr="00E94FBC">
        <w:rPr>
          <w:sz w:val="27"/>
          <w:szCs w:val="27"/>
        </w:rPr>
        <w:t xml:space="preserve"> </w:t>
      </w:r>
      <w:r w:rsidRPr="00E94FBC">
        <w:rPr>
          <w:b/>
          <w:sz w:val="27"/>
          <w:szCs w:val="27"/>
        </w:rPr>
        <w:t>«Национальная оборона»</w:t>
      </w:r>
      <w:r w:rsidRPr="00E94FBC">
        <w:rPr>
          <w:sz w:val="27"/>
          <w:szCs w:val="27"/>
        </w:rPr>
        <w:t xml:space="preserve"> </w:t>
      </w:r>
      <w:r w:rsidRPr="00D1178E">
        <w:rPr>
          <w:sz w:val="27"/>
          <w:szCs w:val="27"/>
        </w:rPr>
        <w:t xml:space="preserve">сложилось в сумме </w:t>
      </w:r>
      <w:r w:rsidR="00E94FBC">
        <w:rPr>
          <w:sz w:val="27"/>
          <w:szCs w:val="27"/>
        </w:rPr>
        <w:t>159,4</w:t>
      </w:r>
      <w:r w:rsidRPr="00D1178E">
        <w:rPr>
          <w:sz w:val="27"/>
          <w:szCs w:val="27"/>
        </w:rPr>
        <w:t xml:space="preserve"> тыс.рублей (</w:t>
      </w:r>
      <w:r w:rsidR="00E94FBC">
        <w:rPr>
          <w:sz w:val="27"/>
          <w:szCs w:val="27"/>
        </w:rPr>
        <w:t>96,61</w:t>
      </w:r>
      <w:r w:rsidRPr="00D1178E">
        <w:rPr>
          <w:sz w:val="27"/>
          <w:szCs w:val="27"/>
        </w:rPr>
        <w:t>% к уточнённому плану), что меньше уровня 201</w:t>
      </w:r>
      <w:r w:rsidR="00E94FBC">
        <w:rPr>
          <w:sz w:val="27"/>
          <w:szCs w:val="27"/>
        </w:rPr>
        <w:t>3</w:t>
      </w:r>
      <w:r w:rsidRPr="00D1178E">
        <w:rPr>
          <w:sz w:val="27"/>
          <w:szCs w:val="27"/>
        </w:rPr>
        <w:t xml:space="preserve"> года на </w:t>
      </w:r>
      <w:r w:rsidR="00E94FBC">
        <w:rPr>
          <w:sz w:val="27"/>
          <w:szCs w:val="27"/>
        </w:rPr>
        <w:t>53,5</w:t>
      </w:r>
      <w:r w:rsidRPr="00D1178E">
        <w:rPr>
          <w:sz w:val="27"/>
          <w:szCs w:val="27"/>
        </w:rPr>
        <w:t xml:space="preserve"> тыс.рублей. </w:t>
      </w:r>
    </w:p>
    <w:p w:rsidR="00E94FBC" w:rsidRDefault="00E94FBC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2014 году р</w:t>
      </w:r>
      <w:r w:rsidR="00924E0E" w:rsidRPr="00D1178E">
        <w:rPr>
          <w:sz w:val="27"/>
          <w:szCs w:val="27"/>
        </w:rPr>
        <w:t xml:space="preserve">асходы по разделу </w:t>
      </w:r>
      <w:r w:rsidR="00924E0E" w:rsidRPr="00E94FBC">
        <w:rPr>
          <w:b/>
          <w:sz w:val="27"/>
          <w:szCs w:val="27"/>
        </w:rPr>
        <w:t>0300 «Национальная безопасность и правоохранительная деятельность»</w:t>
      </w:r>
      <w:r w:rsidR="00924E0E" w:rsidRPr="00D1178E">
        <w:rPr>
          <w:b/>
          <w:sz w:val="27"/>
          <w:szCs w:val="27"/>
        </w:rPr>
        <w:t xml:space="preserve"> </w:t>
      </w:r>
      <w:r w:rsidR="00924E0E" w:rsidRPr="00D1178E">
        <w:rPr>
          <w:sz w:val="27"/>
          <w:szCs w:val="27"/>
        </w:rPr>
        <w:t xml:space="preserve">сложились в сумме </w:t>
      </w:r>
      <w:r>
        <w:rPr>
          <w:sz w:val="27"/>
          <w:szCs w:val="27"/>
        </w:rPr>
        <w:t>24 827,3 тыс.рублей (76,22</w:t>
      </w:r>
      <w:r w:rsidR="00924E0E" w:rsidRPr="00D1178E">
        <w:rPr>
          <w:sz w:val="27"/>
          <w:szCs w:val="27"/>
        </w:rPr>
        <w:t>% к уточнённому плану</w:t>
      </w:r>
      <w:r>
        <w:rPr>
          <w:sz w:val="27"/>
          <w:szCs w:val="27"/>
        </w:rPr>
        <w:t xml:space="preserve"> и 112,81% к уровню 2013 года).</w:t>
      </w:r>
      <w:r w:rsidR="00924E0E" w:rsidRPr="00D1178E">
        <w:rPr>
          <w:sz w:val="27"/>
          <w:szCs w:val="27"/>
        </w:rPr>
        <w:t xml:space="preserve"> </w:t>
      </w:r>
      <w:r w:rsidR="0018252D">
        <w:rPr>
          <w:sz w:val="27"/>
          <w:szCs w:val="27"/>
        </w:rPr>
        <w:t xml:space="preserve">Неисполнение составило 7 745,9 тыс.рублей. </w:t>
      </w:r>
      <w:r>
        <w:rPr>
          <w:sz w:val="27"/>
          <w:szCs w:val="27"/>
        </w:rPr>
        <w:t xml:space="preserve">Основной причиной неполного освоения средств </w:t>
      </w:r>
      <w:r w:rsidR="0018252D">
        <w:rPr>
          <w:sz w:val="27"/>
          <w:szCs w:val="27"/>
        </w:rPr>
        <w:t>явилось нарушение подрядчиком срока выполнения работ по монтажу системы видеонаблюдения</w:t>
      </w:r>
      <w:r w:rsidR="00DE529A">
        <w:rPr>
          <w:sz w:val="27"/>
          <w:szCs w:val="27"/>
        </w:rPr>
        <w:t xml:space="preserve"> на улицах города</w:t>
      </w:r>
      <w:r w:rsidR="0018252D">
        <w:rPr>
          <w:sz w:val="27"/>
          <w:szCs w:val="27"/>
        </w:rPr>
        <w:t xml:space="preserve">. </w:t>
      </w:r>
      <w:r w:rsidR="00DE529A">
        <w:rPr>
          <w:sz w:val="27"/>
          <w:szCs w:val="27"/>
        </w:rPr>
        <w:t xml:space="preserve">Удельный вес раздела </w:t>
      </w:r>
      <w:r w:rsidR="00DE529A" w:rsidRPr="00D1178E">
        <w:rPr>
          <w:sz w:val="27"/>
          <w:szCs w:val="27"/>
        </w:rPr>
        <w:t>в общих расхода</w:t>
      </w:r>
      <w:r w:rsidR="00DE529A">
        <w:rPr>
          <w:sz w:val="27"/>
          <w:szCs w:val="27"/>
        </w:rPr>
        <w:t xml:space="preserve">х местного бюджета – </w:t>
      </w:r>
      <w:r w:rsidR="00EE7B68">
        <w:rPr>
          <w:sz w:val="27"/>
          <w:szCs w:val="27"/>
        </w:rPr>
        <w:t>0,65%.</w:t>
      </w:r>
      <w:r>
        <w:rPr>
          <w:sz w:val="27"/>
          <w:szCs w:val="27"/>
        </w:rPr>
        <w:t xml:space="preserve"> </w:t>
      </w:r>
    </w:p>
    <w:p w:rsidR="00E91036" w:rsidRDefault="00924E0E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1178E">
        <w:rPr>
          <w:sz w:val="27"/>
          <w:szCs w:val="27"/>
        </w:rPr>
        <w:t xml:space="preserve">Фактическое исполнение </w:t>
      </w:r>
      <w:r w:rsidR="00DE529A">
        <w:rPr>
          <w:sz w:val="27"/>
          <w:szCs w:val="27"/>
        </w:rPr>
        <w:t xml:space="preserve">бюджета </w:t>
      </w:r>
      <w:r w:rsidRPr="00D1178E">
        <w:rPr>
          <w:sz w:val="27"/>
          <w:szCs w:val="27"/>
        </w:rPr>
        <w:t xml:space="preserve">по разделу </w:t>
      </w:r>
      <w:r w:rsidRPr="00E736A6">
        <w:rPr>
          <w:b/>
          <w:sz w:val="27"/>
          <w:szCs w:val="27"/>
        </w:rPr>
        <w:t>0400 «Национальная экономика»</w:t>
      </w:r>
      <w:r w:rsidRPr="00D1178E">
        <w:rPr>
          <w:b/>
          <w:sz w:val="27"/>
          <w:szCs w:val="27"/>
        </w:rPr>
        <w:t xml:space="preserve"> </w:t>
      </w:r>
      <w:r w:rsidRPr="00D1178E">
        <w:rPr>
          <w:sz w:val="27"/>
          <w:szCs w:val="27"/>
        </w:rPr>
        <w:t xml:space="preserve">составило </w:t>
      </w:r>
      <w:r w:rsidR="00E736A6">
        <w:rPr>
          <w:sz w:val="27"/>
          <w:szCs w:val="27"/>
        </w:rPr>
        <w:t>193 989,8</w:t>
      </w:r>
      <w:r w:rsidRPr="00D1178E">
        <w:rPr>
          <w:sz w:val="27"/>
          <w:szCs w:val="27"/>
        </w:rPr>
        <w:t xml:space="preserve"> тыс.рублей или </w:t>
      </w:r>
      <w:r w:rsidR="00E736A6">
        <w:rPr>
          <w:sz w:val="27"/>
          <w:szCs w:val="27"/>
        </w:rPr>
        <w:t>89,65</w:t>
      </w:r>
      <w:r w:rsidRPr="00D1178E">
        <w:rPr>
          <w:sz w:val="27"/>
          <w:szCs w:val="27"/>
        </w:rPr>
        <w:t>% к уточнённому плану (</w:t>
      </w:r>
      <w:r w:rsidR="00E736A6">
        <w:rPr>
          <w:sz w:val="27"/>
          <w:szCs w:val="27"/>
        </w:rPr>
        <w:t>216 392,9</w:t>
      </w:r>
      <w:r w:rsidRPr="00D1178E">
        <w:rPr>
          <w:sz w:val="27"/>
          <w:szCs w:val="27"/>
        </w:rPr>
        <w:t xml:space="preserve"> тыс.рублей). </w:t>
      </w:r>
      <w:r w:rsidR="00B615CE">
        <w:rPr>
          <w:sz w:val="27"/>
          <w:szCs w:val="27"/>
        </w:rPr>
        <w:t>Наибольшее н</w:t>
      </w:r>
      <w:r w:rsidRPr="00D1178E">
        <w:rPr>
          <w:sz w:val="27"/>
          <w:szCs w:val="27"/>
        </w:rPr>
        <w:t>евыполнение плана сложилось</w:t>
      </w:r>
      <w:r w:rsidR="00E736A6">
        <w:rPr>
          <w:sz w:val="27"/>
          <w:szCs w:val="27"/>
        </w:rPr>
        <w:t xml:space="preserve"> </w:t>
      </w:r>
      <w:r w:rsidRPr="00D1178E">
        <w:rPr>
          <w:sz w:val="27"/>
          <w:szCs w:val="27"/>
        </w:rPr>
        <w:t>по подраздел</w:t>
      </w:r>
      <w:r w:rsidR="00E736A6">
        <w:rPr>
          <w:sz w:val="27"/>
          <w:szCs w:val="27"/>
        </w:rPr>
        <w:t>ам</w:t>
      </w:r>
      <w:r w:rsidRPr="00D1178E">
        <w:rPr>
          <w:sz w:val="27"/>
          <w:szCs w:val="27"/>
        </w:rPr>
        <w:t xml:space="preserve"> 0409 «Дорожное хозяйство (дорожные фонды)»</w:t>
      </w:r>
      <w:r w:rsidR="00E736A6">
        <w:rPr>
          <w:sz w:val="27"/>
          <w:szCs w:val="27"/>
        </w:rPr>
        <w:t xml:space="preserve"> –</w:t>
      </w:r>
      <w:r w:rsidR="00E736A6" w:rsidRPr="00D1178E">
        <w:rPr>
          <w:sz w:val="27"/>
          <w:szCs w:val="27"/>
        </w:rPr>
        <w:t xml:space="preserve"> </w:t>
      </w:r>
      <w:r w:rsidR="00E736A6">
        <w:rPr>
          <w:sz w:val="27"/>
          <w:szCs w:val="27"/>
        </w:rPr>
        <w:t>18 312,</w:t>
      </w:r>
      <w:r w:rsidR="00DE529A">
        <w:rPr>
          <w:sz w:val="27"/>
          <w:szCs w:val="27"/>
        </w:rPr>
        <w:t>4</w:t>
      </w:r>
      <w:r w:rsidR="00E736A6" w:rsidRPr="00D1178E">
        <w:rPr>
          <w:sz w:val="27"/>
          <w:szCs w:val="27"/>
        </w:rPr>
        <w:t xml:space="preserve"> тыс.рублей</w:t>
      </w:r>
      <w:r w:rsidR="00E736A6">
        <w:rPr>
          <w:sz w:val="27"/>
          <w:szCs w:val="27"/>
        </w:rPr>
        <w:t xml:space="preserve"> и 0412 «Другие вопросы в области национальной экономики» –</w:t>
      </w:r>
      <w:r w:rsidR="00E736A6" w:rsidRPr="00D1178E">
        <w:rPr>
          <w:sz w:val="27"/>
          <w:szCs w:val="27"/>
        </w:rPr>
        <w:t xml:space="preserve"> </w:t>
      </w:r>
      <w:r w:rsidR="00EA06A0">
        <w:rPr>
          <w:sz w:val="27"/>
          <w:szCs w:val="27"/>
        </w:rPr>
        <w:t>4 058,5</w:t>
      </w:r>
      <w:r w:rsidR="00E736A6" w:rsidRPr="00D1178E">
        <w:rPr>
          <w:sz w:val="27"/>
          <w:szCs w:val="27"/>
        </w:rPr>
        <w:t xml:space="preserve"> тыс.рублей</w:t>
      </w:r>
      <w:r w:rsidR="00EA06A0">
        <w:rPr>
          <w:sz w:val="27"/>
          <w:szCs w:val="27"/>
        </w:rPr>
        <w:t>.</w:t>
      </w:r>
      <w:r w:rsidR="00E736A6" w:rsidRPr="00D1178E">
        <w:rPr>
          <w:sz w:val="27"/>
          <w:szCs w:val="27"/>
        </w:rPr>
        <w:t xml:space="preserve"> </w:t>
      </w:r>
    </w:p>
    <w:p w:rsidR="00E91036" w:rsidRDefault="00E91036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Уточнённый объём бюджетных ассигнований муниципального дорожного фонда города Волгодонска на 2014 год составил 19</w:t>
      </w:r>
      <w:r w:rsidR="00477D32">
        <w:rPr>
          <w:sz w:val="27"/>
          <w:szCs w:val="27"/>
        </w:rPr>
        <w:t>2</w:t>
      </w:r>
      <w:r>
        <w:rPr>
          <w:sz w:val="27"/>
          <w:szCs w:val="27"/>
        </w:rPr>
        <w:t> 578,3 тыс.рублей, в том числе</w:t>
      </w:r>
      <w:r w:rsidR="00DE529A">
        <w:rPr>
          <w:sz w:val="27"/>
          <w:szCs w:val="27"/>
        </w:rPr>
        <w:t>:</w:t>
      </w:r>
      <w:r>
        <w:rPr>
          <w:sz w:val="27"/>
          <w:szCs w:val="27"/>
        </w:rPr>
        <w:t xml:space="preserve"> средства </w:t>
      </w:r>
      <w:r w:rsidR="00DC05A4">
        <w:rPr>
          <w:sz w:val="27"/>
          <w:szCs w:val="27"/>
        </w:rPr>
        <w:t>местного</w:t>
      </w:r>
      <w:r>
        <w:rPr>
          <w:sz w:val="27"/>
          <w:szCs w:val="27"/>
        </w:rPr>
        <w:t xml:space="preserve"> бюджета – 118 410,9 тыс.рублей, межбюджетные трансферты – 74 167,4 тыс.рублей</w:t>
      </w:r>
      <w:r w:rsidR="00DC05A4">
        <w:rPr>
          <w:sz w:val="27"/>
          <w:szCs w:val="27"/>
        </w:rPr>
        <w:t xml:space="preserve">. Фактически в течение года в </w:t>
      </w:r>
      <w:r w:rsidR="00D12A4C">
        <w:rPr>
          <w:sz w:val="27"/>
          <w:szCs w:val="27"/>
        </w:rPr>
        <w:t>дорожный фонд</w:t>
      </w:r>
      <w:r w:rsidR="00DC05A4">
        <w:rPr>
          <w:sz w:val="27"/>
          <w:szCs w:val="27"/>
        </w:rPr>
        <w:t xml:space="preserve"> поступило 191 383,4 тыс.рублей, в том числе:</w:t>
      </w:r>
    </w:p>
    <w:p w:rsidR="00DC05A4" w:rsidRPr="00DC05A4" w:rsidRDefault="00DC05A4" w:rsidP="00DC05A4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DC05A4">
        <w:rPr>
          <w:sz w:val="20"/>
          <w:szCs w:val="20"/>
        </w:rPr>
        <w:t>тыс.рублей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81"/>
        <w:gridCol w:w="7843"/>
        <w:gridCol w:w="1238"/>
      </w:tblGrid>
      <w:tr w:rsidR="00DC05A4" w:rsidRPr="00555C8B" w:rsidTr="00D12A4C">
        <w:tc>
          <w:tcPr>
            <w:tcW w:w="284" w:type="dxa"/>
          </w:tcPr>
          <w:p w:rsidR="00DC05A4" w:rsidRPr="00E54CC4" w:rsidRDefault="009B3EE7" w:rsidP="00DC05A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4CC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938" w:type="dxa"/>
          </w:tcPr>
          <w:p w:rsidR="00DC05A4" w:rsidRDefault="009B3EE7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F9C">
              <w:rPr>
                <w:b/>
                <w:sz w:val="22"/>
                <w:szCs w:val="22"/>
              </w:rPr>
              <w:t>Налоговые и неналоговые доходы,</w:t>
            </w:r>
            <w:r>
              <w:rPr>
                <w:sz w:val="22"/>
                <w:szCs w:val="22"/>
              </w:rPr>
              <w:t xml:space="preserve"> всего</w:t>
            </w:r>
          </w:p>
          <w:p w:rsidR="00D12A4C" w:rsidRPr="00555C8B" w:rsidRDefault="00477D32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  <w:r w:rsidR="00D12A4C">
              <w:rPr>
                <w:sz w:val="22"/>
                <w:szCs w:val="22"/>
              </w:rPr>
              <w:t>:</w:t>
            </w:r>
          </w:p>
        </w:tc>
        <w:tc>
          <w:tcPr>
            <w:tcW w:w="1240" w:type="dxa"/>
          </w:tcPr>
          <w:p w:rsidR="00DC05A4" w:rsidRPr="000A6F9C" w:rsidRDefault="009B3EE7" w:rsidP="00D12A4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0A6F9C">
              <w:rPr>
                <w:b/>
                <w:sz w:val="22"/>
                <w:szCs w:val="22"/>
              </w:rPr>
              <w:t>123 080,2</w:t>
            </w:r>
          </w:p>
        </w:tc>
      </w:tr>
      <w:tr w:rsidR="009B3EE7" w:rsidRPr="00555C8B" w:rsidTr="00D12A4C">
        <w:tc>
          <w:tcPr>
            <w:tcW w:w="284" w:type="dxa"/>
          </w:tcPr>
          <w:p w:rsidR="009B3EE7" w:rsidRPr="00555C8B" w:rsidRDefault="00D12A4C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38" w:type="dxa"/>
          </w:tcPr>
          <w:p w:rsidR="009B3EE7" w:rsidRPr="00555C8B" w:rsidRDefault="009B3EE7" w:rsidP="00D12A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5C8B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0" w:type="dxa"/>
            <w:vAlign w:val="bottom"/>
          </w:tcPr>
          <w:p w:rsidR="009B3EE7" w:rsidRPr="00555C8B" w:rsidRDefault="009B3EE7" w:rsidP="00D12A4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5C8B">
              <w:rPr>
                <w:sz w:val="22"/>
                <w:szCs w:val="22"/>
              </w:rPr>
              <w:t>62 059,3</w:t>
            </w:r>
          </w:p>
        </w:tc>
      </w:tr>
      <w:tr w:rsidR="009B3EE7" w:rsidRPr="00555C8B" w:rsidTr="00D12A4C">
        <w:tc>
          <w:tcPr>
            <w:tcW w:w="284" w:type="dxa"/>
          </w:tcPr>
          <w:p w:rsidR="009B3EE7" w:rsidRPr="00555C8B" w:rsidRDefault="00D12A4C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38" w:type="dxa"/>
          </w:tcPr>
          <w:p w:rsidR="009B3EE7" w:rsidRPr="00555C8B" w:rsidRDefault="009B3EE7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5C8B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расходы</w:t>
            </w:r>
          </w:p>
        </w:tc>
        <w:tc>
          <w:tcPr>
            <w:tcW w:w="1240" w:type="dxa"/>
            <w:vAlign w:val="bottom"/>
          </w:tcPr>
          <w:p w:rsidR="009B3EE7" w:rsidRPr="00555C8B" w:rsidRDefault="009B3EE7" w:rsidP="00555C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55C8B">
              <w:rPr>
                <w:sz w:val="22"/>
                <w:szCs w:val="22"/>
              </w:rPr>
              <w:t>18 441,9</w:t>
            </w:r>
          </w:p>
        </w:tc>
      </w:tr>
      <w:tr w:rsidR="009B3EE7" w:rsidRPr="00555C8B" w:rsidTr="00D12A4C">
        <w:tc>
          <w:tcPr>
            <w:tcW w:w="284" w:type="dxa"/>
          </w:tcPr>
          <w:p w:rsidR="009B3EE7" w:rsidRPr="00555C8B" w:rsidRDefault="00D12A4C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38" w:type="dxa"/>
          </w:tcPr>
          <w:p w:rsidR="009B3EE7" w:rsidRPr="009B3EE7" w:rsidRDefault="009B3EE7" w:rsidP="009B3E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40" w:type="dxa"/>
            <w:vAlign w:val="bottom"/>
          </w:tcPr>
          <w:p w:rsidR="009B3EE7" w:rsidRPr="00555C8B" w:rsidRDefault="009B3EE7" w:rsidP="00555C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16 576,2</w:t>
            </w:r>
          </w:p>
        </w:tc>
      </w:tr>
      <w:tr w:rsidR="009B3EE7" w:rsidRPr="00555C8B" w:rsidTr="00D12A4C">
        <w:tc>
          <w:tcPr>
            <w:tcW w:w="284" w:type="dxa"/>
          </w:tcPr>
          <w:p w:rsidR="009B3EE7" w:rsidRPr="00555C8B" w:rsidRDefault="00D12A4C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38" w:type="dxa"/>
          </w:tcPr>
          <w:p w:rsidR="009B3EE7" w:rsidRPr="00555C8B" w:rsidRDefault="009B3EE7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города Волгодонска</w:t>
            </w:r>
          </w:p>
        </w:tc>
        <w:tc>
          <w:tcPr>
            <w:tcW w:w="1240" w:type="dxa"/>
            <w:vAlign w:val="bottom"/>
          </w:tcPr>
          <w:p w:rsidR="009B3EE7" w:rsidRPr="00555C8B" w:rsidRDefault="009B3EE7" w:rsidP="00555C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13 439,3</w:t>
            </w:r>
          </w:p>
        </w:tc>
      </w:tr>
      <w:tr w:rsidR="009B3EE7" w:rsidRPr="00555C8B" w:rsidTr="00D12A4C">
        <w:tc>
          <w:tcPr>
            <w:tcW w:w="284" w:type="dxa"/>
          </w:tcPr>
          <w:p w:rsidR="009B3EE7" w:rsidRPr="00555C8B" w:rsidRDefault="00D12A4C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38" w:type="dxa"/>
          </w:tcPr>
          <w:p w:rsidR="009B3EE7" w:rsidRPr="00555C8B" w:rsidRDefault="009B3EE7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1240" w:type="dxa"/>
            <w:vAlign w:val="bottom"/>
          </w:tcPr>
          <w:p w:rsidR="009B3EE7" w:rsidRPr="009B3EE7" w:rsidRDefault="009B3EE7" w:rsidP="00555C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12 362,2</w:t>
            </w:r>
          </w:p>
        </w:tc>
      </w:tr>
      <w:tr w:rsidR="009B3EE7" w:rsidRPr="00555C8B" w:rsidTr="00D12A4C">
        <w:tc>
          <w:tcPr>
            <w:tcW w:w="284" w:type="dxa"/>
          </w:tcPr>
          <w:p w:rsidR="009B3EE7" w:rsidRPr="00555C8B" w:rsidRDefault="00D12A4C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38" w:type="dxa"/>
          </w:tcPr>
          <w:p w:rsidR="009B3EE7" w:rsidRPr="00555C8B" w:rsidRDefault="009B3EE7" w:rsidP="00DC05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поступления</w:t>
            </w:r>
          </w:p>
        </w:tc>
        <w:tc>
          <w:tcPr>
            <w:tcW w:w="1240" w:type="dxa"/>
            <w:vAlign w:val="bottom"/>
          </w:tcPr>
          <w:p w:rsidR="009B3EE7" w:rsidRPr="00555C8B" w:rsidRDefault="009B3EE7" w:rsidP="00555C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201,3</w:t>
            </w:r>
          </w:p>
        </w:tc>
      </w:tr>
      <w:tr w:rsidR="009B3EE7" w:rsidRPr="00555C8B" w:rsidTr="00D12A4C">
        <w:tc>
          <w:tcPr>
            <w:tcW w:w="284" w:type="dxa"/>
          </w:tcPr>
          <w:p w:rsidR="009B3EE7" w:rsidRPr="00E54CC4" w:rsidRDefault="009B3EE7" w:rsidP="00DC05A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4CC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938" w:type="dxa"/>
          </w:tcPr>
          <w:p w:rsidR="009B3EE7" w:rsidRPr="00555C8B" w:rsidRDefault="00D12A4C" w:rsidP="00D12A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F9C">
              <w:rPr>
                <w:b/>
                <w:sz w:val="22"/>
                <w:szCs w:val="22"/>
              </w:rPr>
              <w:t>Поступления в виде межбюджетных трансфертов</w:t>
            </w:r>
            <w:r>
              <w:rPr>
                <w:sz w:val="22"/>
                <w:szCs w:val="22"/>
              </w:rPr>
              <w:t xml:space="preserve"> на финансовое обеспечение дорожной деятельности в отношении автомобильных дорог общего пользования</w:t>
            </w:r>
          </w:p>
        </w:tc>
        <w:tc>
          <w:tcPr>
            <w:tcW w:w="1240" w:type="dxa"/>
            <w:vAlign w:val="bottom"/>
          </w:tcPr>
          <w:p w:rsidR="009B3EE7" w:rsidRPr="000A6F9C" w:rsidRDefault="00D12A4C" w:rsidP="00555C8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0A6F9C">
              <w:rPr>
                <w:b/>
                <w:sz w:val="22"/>
                <w:szCs w:val="22"/>
              </w:rPr>
              <w:t>63 803,2</w:t>
            </w:r>
          </w:p>
        </w:tc>
      </w:tr>
      <w:tr w:rsidR="009B3EE7" w:rsidRPr="00555C8B" w:rsidTr="00D12A4C">
        <w:tc>
          <w:tcPr>
            <w:tcW w:w="284" w:type="dxa"/>
          </w:tcPr>
          <w:p w:rsidR="009B3EE7" w:rsidRPr="00E54CC4" w:rsidRDefault="00D12A4C" w:rsidP="00DC05A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4CC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938" w:type="dxa"/>
          </w:tcPr>
          <w:p w:rsidR="009B3EE7" w:rsidRPr="00555C8B" w:rsidRDefault="00D12A4C" w:rsidP="00D12A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6F9C">
              <w:rPr>
                <w:b/>
                <w:sz w:val="22"/>
                <w:szCs w:val="22"/>
              </w:rPr>
              <w:t>Грант по итогам рейтинговой оценки</w:t>
            </w:r>
            <w:r>
              <w:rPr>
                <w:sz w:val="22"/>
                <w:szCs w:val="22"/>
              </w:rPr>
              <w:t xml:space="preserve"> эффективности деятельности муниципальных образований Ростовской области по привлечению инвестиций</w:t>
            </w:r>
          </w:p>
        </w:tc>
        <w:tc>
          <w:tcPr>
            <w:tcW w:w="1240" w:type="dxa"/>
            <w:vAlign w:val="bottom"/>
          </w:tcPr>
          <w:p w:rsidR="009B3EE7" w:rsidRPr="000A6F9C" w:rsidRDefault="00D12A4C" w:rsidP="00555C8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0A6F9C">
              <w:rPr>
                <w:b/>
                <w:sz w:val="22"/>
                <w:szCs w:val="22"/>
              </w:rPr>
              <w:t>4 500,0</w:t>
            </w:r>
          </w:p>
        </w:tc>
      </w:tr>
    </w:tbl>
    <w:p w:rsidR="00DC05A4" w:rsidRPr="00C33400" w:rsidRDefault="00D12A4C" w:rsidP="00DE529A">
      <w:pPr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 w:rsidRPr="00C33400">
        <w:rPr>
          <w:sz w:val="27"/>
          <w:szCs w:val="27"/>
        </w:rPr>
        <w:lastRenderedPageBreak/>
        <w:t>Расходы за счёт средств дорожного фонда сложились в сумме 174 265,8</w:t>
      </w:r>
      <w:r w:rsidR="00477D32" w:rsidRPr="00C33400">
        <w:rPr>
          <w:sz w:val="27"/>
          <w:szCs w:val="27"/>
        </w:rPr>
        <w:t xml:space="preserve"> тыс.рублей, в том числе:</w:t>
      </w:r>
    </w:p>
    <w:p w:rsidR="00477D32" w:rsidRPr="00DC05A4" w:rsidRDefault="00477D32" w:rsidP="00477D32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DC05A4">
        <w:rPr>
          <w:sz w:val="20"/>
          <w:szCs w:val="20"/>
        </w:rPr>
        <w:t>тыс.рублей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81"/>
        <w:gridCol w:w="7843"/>
        <w:gridCol w:w="1238"/>
      </w:tblGrid>
      <w:tr w:rsidR="00E54CC4" w:rsidRPr="00555C8B" w:rsidTr="009D58EE">
        <w:tc>
          <w:tcPr>
            <w:tcW w:w="381" w:type="dxa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3" w:type="dxa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238" w:type="dxa"/>
            <w:vAlign w:val="bottom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104 009,8</w:t>
            </w:r>
          </w:p>
        </w:tc>
      </w:tr>
      <w:tr w:rsidR="00E54CC4" w:rsidRPr="00555C8B" w:rsidTr="009D58EE">
        <w:tc>
          <w:tcPr>
            <w:tcW w:w="381" w:type="dxa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3" w:type="dxa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238" w:type="dxa"/>
            <w:vAlign w:val="bottom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12 513,7</w:t>
            </w:r>
          </w:p>
        </w:tc>
      </w:tr>
      <w:tr w:rsidR="00E54CC4" w:rsidRPr="00555C8B" w:rsidTr="009D58EE">
        <w:tc>
          <w:tcPr>
            <w:tcW w:w="381" w:type="dxa"/>
          </w:tcPr>
          <w:p w:rsidR="00E54CC4" w:rsidRDefault="00E54CC4" w:rsidP="000A6F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3" w:type="dxa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автомобильных дорог общего пользования и искусственных сооружений на них</w:t>
            </w:r>
          </w:p>
        </w:tc>
        <w:tc>
          <w:tcPr>
            <w:tcW w:w="1238" w:type="dxa"/>
            <w:vAlign w:val="bottom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11 931,0</w:t>
            </w:r>
          </w:p>
        </w:tc>
      </w:tr>
      <w:tr w:rsidR="00E54CC4" w:rsidRPr="00555C8B" w:rsidTr="009D58EE">
        <w:tc>
          <w:tcPr>
            <w:tcW w:w="381" w:type="dxa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3" w:type="dxa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дворовых территорий многоквартирных домов и проездов к ним</w:t>
            </w:r>
          </w:p>
        </w:tc>
        <w:tc>
          <w:tcPr>
            <w:tcW w:w="1238" w:type="dxa"/>
            <w:vAlign w:val="bottom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881,4</w:t>
            </w:r>
          </w:p>
        </w:tc>
      </w:tr>
      <w:tr w:rsidR="00E54CC4" w:rsidRPr="00555C8B" w:rsidTr="001E3C25">
        <w:tc>
          <w:tcPr>
            <w:tcW w:w="381" w:type="dxa"/>
          </w:tcPr>
          <w:p w:rsidR="00E54CC4" w:rsidRPr="00555C8B" w:rsidRDefault="00E54CC4" w:rsidP="000A6F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3" w:type="dxa"/>
          </w:tcPr>
          <w:p w:rsidR="001E3C25" w:rsidRDefault="00E54CC4" w:rsidP="000A6F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проектно-сметной документации</w:t>
            </w:r>
            <w:r w:rsidR="001E3C25">
              <w:rPr>
                <w:sz w:val="22"/>
                <w:szCs w:val="22"/>
              </w:rPr>
              <w:t>, всего</w:t>
            </w:r>
          </w:p>
          <w:p w:rsidR="001E3C25" w:rsidRDefault="001E3C25" w:rsidP="000A6F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  <w:p w:rsidR="001E3C25" w:rsidRDefault="00E54CC4" w:rsidP="001E3C25">
            <w:pPr>
              <w:autoSpaceDE w:val="0"/>
              <w:autoSpaceDN w:val="0"/>
              <w:adjustRightInd w:val="0"/>
              <w:ind w:firstLine="3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1E3C25">
              <w:rPr>
                <w:sz w:val="22"/>
                <w:szCs w:val="22"/>
              </w:rPr>
              <w:t>строительство объектов дорожного хозяйства</w:t>
            </w:r>
          </w:p>
          <w:p w:rsidR="00E54CC4" w:rsidRPr="009B3EE7" w:rsidRDefault="001E3C25" w:rsidP="001E3C25">
            <w:pPr>
              <w:autoSpaceDE w:val="0"/>
              <w:autoSpaceDN w:val="0"/>
              <w:adjustRightInd w:val="0"/>
              <w:ind w:firstLine="3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капитальный</w:t>
            </w:r>
            <w:r w:rsidR="00E54CC4">
              <w:rPr>
                <w:sz w:val="22"/>
                <w:szCs w:val="22"/>
              </w:rPr>
              <w:t xml:space="preserve"> ремонт </w:t>
            </w:r>
            <w:r>
              <w:rPr>
                <w:sz w:val="22"/>
                <w:szCs w:val="22"/>
              </w:rPr>
              <w:t>объектов дорожного хозяйства</w:t>
            </w:r>
          </w:p>
        </w:tc>
        <w:tc>
          <w:tcPr>
            <w:tcW w:w="1238" w:type="dxa"/>
          </w:tcPr>
          <w:p w:rsidR="00E54CC4" w:rsidRDefault="00E54CC4" w:rsidP="001E3C2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44 929,9</w:t>
            </w:r>
          </w:p>
          <w:p w:rsidR="001E3C25" w:rsidRDefault="001E3C25" w:rsidP="001E3C2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1E3C25" w:rsidRDefault="001E3C25" w:rsidP="001E3C2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43 230,0</w:t>
            </w:r>
          </w:p>
          <w:p w:rsidR="001E3C25" w:rsidRPr="00555C8B" w:rsidRDefault="001E3C25" w:rsidP="001E3C2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1 699,9</w:t>
            </w:r>
          </w:p>
        </w:tc>
      </w:tr>
    </w:tbl>
    <w:p w:rsidR="00A41F10" w:rsidRPr="00C33400" w:rsidRDefault="00924E0E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33400">
        <w:rPr>
          <w:sz w:val="27"/>
          <w:szCs w:val="27"/>
        </w:rPr>
        <w:t xml:space="preserve">Как следует из </w:t>
      </w:r>
      <w:r w:rsidR="00EA06A0" w:rsidRPr="00C33400">
        <w:rPr>
          <w:sz w:val="27"/>
          <w:szCs w:val="27"/>
        </w:rPr>
        <w:t xml:space="preserve">приложения 2 к </w:t>
      </w:r>
      <w:r w:rsidRPr="00C33400">
        <w:rPr>
          <w:sz w:val="27"/>
          <w:szCs w:val="27"/>
        </w:rPr>
        <w:t>Пояснительной записк</w:t>
      </w:r>
      <w:r w:rsidR="00EA06A0" w:rsidRPr="00C33400">
        <w:rPr>
          <w:sz w:val="27"/>
          <w:szCs w:val="27"/>
        </w:rPr>
        <w:t>е</w:t>
      </w:r>
      <w:r w:rsidRPr="00C33400">
        <w:rPr>
          <w:sz w:val="27"/>
          <w:szCs w:val="27"/>
        </w:rPr>
        <w:t>,</w:t>
      </w:r>
      <w:r w:rsidR="00A41F10" w:rsidRPr="00C33400">
        <w:rPr>
          <w:sz w:val="27"/>
          <w:szCs w:val="27"/>
        </w:rPr>
        <w:t xml:space="preserve"> неисполнение </w:t>
      </w:r>
      <w:r w:rsidR="001E3C25" w:rsidRPr="00C33400">
        <w:rPr>
          <w:sz w:val="27"/>
          <w:szCs w:val="27"/>
        </w:rPr>
        <w:t>плана</w:t>
      </w:r>
      <w:r w:rsidR="00A41F10" w:rsidRPr="00C33400">
        <w:rPr>
          <w:sz w:val="27"/>
          <w:szCs w:val="27"/>
        </w:rPr>
        <w:t xml:space="preserve"> </w:t>
      </w:r>
      <w:r w:rsidR="00B615CE" w:rsidRPr="00C33400">
        <w:rPr>
          <w:sz w:val="27"/>
          <w:szCs w:val="27"/>
        </w:rPr>
        <w:t>по использованию средств дорожного фонда связано</w:t>
      </w:r>
      <w:r w:rsidR="001E3C25" w:rsidRPr="00C33400">
        <w:rPr>
          <w:sz w:val="27"/>
          <w:szCs w:val="27"/>
        </w:rPr>
        <w:t xml:space="preserve">, в основном, с </w:t>
      </w:r>
      <w:r w:rsidR="00A41F10" w:rsidRPr="00C33400">
        <w:rPr>
          <w:sz w:val="27"/>
          <w:szCs w:val="27"/>
        </w:rPr>
        <w:t>наличие</w:t>
      </w:r>
      <w:r w:rsidR="001E3C25" w:rsidRPr="00C33400">
        <w:rPr>
          <w:sz w:val="27"/>
          <w:szCs w:val="27"/>
        </w:rPr>
        <w:t>м</w:t>
      </w:r>
      <w:r w:rsidR="00A41F10" w:rsidRPr="00C33400">
        <w:rPr>
          <w:sz w:val="27"/>
          <w:szCs w:val="27"/>
        </w:rPr>
        <w:t xml:space="preserve"> </w:t>
      </w:r>
      <w:r w:rsidR="001E3C25" w:rsidRPr="00C33400">
        <w:rPr>
          <w:sz w:val="27"/>
          <w:szCs w:val="27"/>
        </w:rPr>
        <w:t xml:space="preserve">на конец 2014 года </w:t>
      </w:r>
      <w:r w:rsidR="00A41F10" w:rsidRPr="00C33400">
        <w:rPr>
          <w:sz w:val="27"/>
          <w:szCs w:val="27"/>
        </w:rPr>
        <w:t xml:space="preserve">кредиторской задолженности </w:t>
      </w:r>
      <w:r w:rsidR="001E3C25" w:rsidRPr="00C33400">
        <w:rPr>
          <w:sz w:val="27"/>
          <w:szCs w:val="27"/>
        </w:rPr>
        <w:t xml:space="preserve">в сумме 9 240,1 тыс.рублей по средствам областного бюджета </w:t>
      </w:r>
      <w:r w:rsidR="00A41F10" w:rsidRPr="00C33400">
        <w:rPr>
          <w:sz w:val="27"/>
          <w:szCs w:val="27"/>
        </w:rPr>
        <w:t>за выполненные работы по содержанию дорог</w:t>
      </w:r>
      <w:r w:rsidR="001E3C25" w:rsidRPr="00C33400">
        <w:rPr>
          <w:sz w:val="27"/>
          <w:szCs w:val="27"/>
        </w:rPr>
        <w:t xml:space="preserve"> и сооружений, а также с нарушением подрядчиками</w:t>
      </w:r>
      <w:r w:rsidR="00C33400" w:rsidRPr="00C33400">
        <w:rPr>
          <w:sz w:val="27"/>
          <w:szCs w:val="27"/>
        </w:rPr>
        <w:t xml:space="preserve"> срок</w:t>
      </w:r>
      <w:r w:rsidR="00C33400">
        <w:rPr>
          <w:sz w:val="27"/>
          <w:szCs w:val="27"/>
        </w:rPr>
        <w:t>ов</w:t>
      </w:r>
      <w:r w:rsidR="00C33400" w:rsidRPr="00C33400">
        <w:rPr>
          <w:sz w:val="27"/>
          <w:szCs w:val="27"/>
        </w:rPr>
        <w:t xml:space="preserve"> исполнения контракт</w:t>
      </w:r>
      <w:r w:rsidR="00C33400">
        <w:rPr>
          <w:sz w:val="27"/>
          <w:szCs w:val="27"/>
        </w:rPr>
        <w:t>ов</w:t>
      </w:r>
      <w:r w:rsidR="00C33400" w:rsidRPr="00C33400">
        <w:rPr>
          <w:sz w:val="27"/>
          <w:szCs w:val="27"/>
        </w:rPr>
        <w:t xml:space="preserve"> по разработке проектной документации на строительство подъездных дорог к дошкольным образовательным учреждениям</w:t>
      </w:r>
      <w:r w:rsidR="00C33400">
        <w:rPr>
          <w:sz w:val="27"/>
          <w:szCs w:val="27"/>
        </w:rPr>
        <w:t xml:space="preserve"> и договорных обязательств по ремонту и содержанию дорог.</w:t>
      </w:r>
    </w:p>
    <w:p w:rsidR="00A41F10" w:rsidRPr="00C33400" w:rsidRDefault="00976522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Неосвоение средств по подразделу 0412 «Другие вопросы в области национальной экономики» сложилось по причине экономии, образовавшейся в результате проведения конкурсных процедур.</w:t>
      </w:r>
    </w:p>
    <w:p w:rsidR="00924E0E" w:rsidRPr="00D1178E" w:rsidRDefault="00924E0E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1178E">
        <w:rPr>
          <w:sz w:val="27"/>
          <w:szCs w:val="27"/>
        </w:rPr>
        <w:t>К показателю исполнения бюджета по разделу за 201</w:t>
      </w:r>
      <w:r w:rsidR="00976522">
        <w:rPr>
          <w:sz w:val="27"/>
          <w:szCs w:val="27"/>
        </w:rPr>
        <w:t>3</w:t>
      </w:r>
      <w:r w:rsidRPr="00D1178E">
        <w:rPr>
          <w:sz w:val="27"/>
          <w:szCs w:val="27"/>
        </w:rPr>
        <w:t xml:space="preserve"> год расходы отчётного года </w:t>
      </w:r>
      <w:r w:rsidR="00976522">
        <w:rPr>
          <w:sz w:val="27"/>
          <w:szCs w:val="27"/>
        </w:rPr>
        <w:t xml:space="preserve">увеличились </w:t>
      </w:r>
      <w:r w:rsidRPr="00D1178E">
        <w:rPr>
          <w:sz w:val="27"/>
          <w:szCs w:val="27"/>
        </w:rPr>
        <w:t xml:space="preserve">на </w:t>
      </w:r>
      <w:r w:rsidR="00976522">
        <w:rPr>
          <w:sz w:val="27"/>
          <w:szCs w:val="27"/>
        </w:rPr>
        <w:t>21 500,1</w:t>
      </w:r>
      <w:r w:rsidRPr="00D1178E">
        <w:rPr>
          <w:sz w:val="27"/>
          <w:szCs w:val="27"/>
        </w:rPr>
        <w:t xml:space="preserve"> тыс.рублей</w:t>
      </w:r>
      <w:r w:rsidR="00976522">
        <w:rPr>
          <w:sz w:val="27"/>
          <w:szCs w:val="27"/>
        </w:rPr>
        <w:t xml:space="preserve"> (на 12,46%).</w:t>
      </w:r>
      <w:r w:rsidRPr="00D1178E">
        <w:rPr>
          <w:sz w:val="27"/>
          <w:szCs w:val="27"/>
        </w:rPr>
        <w:t xml:space="preserve"> Удельный вес расходов </w:t>
      </w:r>
      <w:r w:rsidR="00976522">
        <w:rPr>
          <w:sz w:val="27"/>
          <w:szCs w:val="27"/>
        </w:rPr>
        <w:t>раздела</w:t>
      </w:r>
      <w:r w:rsidRPr="00D1178E">
        <w:rPr>
          <w:sz w:val="27"/>
          <w:szCs w:val="27"/>
        </w:rPr>
        <w:t xml:space="preserve"> в общих расходах местного бюджета составил </w:t>
      </w:r>
      <w:r w:rsidR="00832555">
        <w:rPr>
          <w:sz w:val="27"/>
          <w:szCs w:val="27"/>
        </w:rPr>
        <w:t>5,04</w:t>
      </w:r>
      <w:r w:rsidRPr="00D1178E">
        <w:rPr>
          <w:sz w:val="27"/>
          <w:szCs w:val="27"/>
        </w:rPr>
        <w:t>%.</w:t>
      </w:r>
    </w:p>
    <w:p w:rsidR="00924E0E" w:rsidRPr="00D1178E" w:rsidRDefault="00924E0E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1178E">
        <w:rPr>
          <w:sz w:val="27"/>
          <w:szCs w:val="27"/>
        </w:rPr>
        <w:t>Уточнённы</w:t>
      </w:r>
      <w:r w:rsidR="004A254A">
        <w:rPr>
          <w:sz w:val="27"/>
          <w:szCs w:val="27"/>
        </w:rPr>
        <w:t>е</w:t>
      </w:r>
      <w:r w:rsidRPr="00D1178E">
        <w:rPr>
          <w:sz w:val="27"/>
          <w:szCs w:val="27"/>
        </w:rPr>
        <w:t xml:space="preserve"> </w:t>
      </w:r>
      <w:r w:rsidR="004A254A">
        <w:rPr>
          <w:sz w:val="27"/>
          <w:szCs w:val="27"/>
        </w:rPr>
        <w:t>бюджетные назначения</w:t>
      </w:r>
      <w:r w:rsidRPr="00D1178E">
        <w:rPr>
          <w:sz w:val="27"/>
          <w:szCs w:val="27"/>
        </w:rPr>
        <w:t xml:space="preserve"> по разделу </w:t>
      </w:r>
      <w:r w:rsidRPr="004A254A">
        <w:rPr>
          <w:b/>
          <w:sz w:val="27"/>
          <w:szCs w:val="27"/>
        </w:rPr>
        <w:t>0500 «Жилищно-коммунальное хозяйство»</w:t>
      </w:r>
      <w:r w:rsidRPr="00D1178E">
        <w:rPr>
          <w:b/>
          <w:i/>
          <w:sz w:val="27"/>
          <w:szCs w:val="27"/>
        </w:rPr>
        <w:t xml:space="preserve"> </w:t>
      </w:r>
      <w:r w:rsidRPr="00D1178E">
        <w:rPr>
          <w:sz w:val="27"/>
          <w:szCs w:val="27"/>
        </w:rPr>
        <w:t>составил</w:t>
      </w:r>
      <w:r w:rsidR="004A254A">
        <w:rPr>
          <w:sz w:val="27"/>
          <w:szCs w:val="27"/>
        </w:rPr>
        <w:t>и 588 757,7 тыс.рублей</w:t>
      </w:r>
      <w:r w:rsidRPr="00D1178E">
        <w:rPr>
          <w:sz w:val="27"/>
          <w:szCs w:val="27"/>
        </w:rPr>
        <w:t xml:space="preserve">, кассовое исполнение – </w:t>
      </w:r>
      <w:r w:rsidR="004A254A">
        <w:rPr>
          <w:sz w:val="27"/>
          <w:szCs w:val="27"/>
        </w:rPr>
        <w:t>452 281,6</w:t>
      </w:r>
      <w:r w:rsidRPr="00D1178E">
        <w:rPr>
          <w:sz w:val="27"/>
          <w:szCs w:val="27"/>
        </w:rPr>
        <w:t xml:space="preserve"> тыс.рублей</w:t>
      </w:r>
      <w:r w:rsidR="004A254A">
        <w:rPr>
          <w:sz w:val="27"/>
          <w:szCs w:val="27"/>
        </w:rPr>
        <w:t xml:space="preserve"> или 76,82% к плану</w:t>
      </w:r>
      <w:r w:rsidR="005D1816">
        <w:rPr>
          <w:sz w:val="27"/>
          <w:szCs w:val="27"/>
        </w:rPr>
        <w:t>.</w:t>
      </w:r>
    </w:p>
    <w:p w:rsidR="00C94B35" w:rsidRPr="00C33400" w:rsidRDefault="00B74820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Невысокий процент исполнения (58,39%) сложился по подразделу </w:t>
      </w:r>
      <w:r w:rsidRPr="00D1178E">
        <w:rPr>
          <w:sz w:val="27"/>
          <w:szCs w:val="27"/>
        </w:rPr>
        <w:t>0501 «Жилищное хозяйство»</w:t>
      </w:r>
      <w:r>
        <w:rPr>
          <w:sz w:val="27"/>
          <w:szCs w:val="27"/>
        </w:rPr>
        <w:t>, доля которого в расходах раздела занимает 39,12%.</w:t>
      </w:r>
      <w:r w:rsidRPr="00B74820">
        <w:rPr>
          <w:sz w:val="27"/>
          <w:szCs w:val="27"/>
        </w:rPr>
        <w:t xml:space="preserve"> </w:t>
      </w:r>
      <w:r w:rsidR="00C94B35">
        <w:rPr>
          <w:sz w:val="27"/>
          <w:szCs w:val="27"/>
        </w:rPr>
        <w:t xml:space="preserve">Как следует из </w:t>
      </w:r>
      <w:r w:rsidR="00C94B35" w:rsidRPr="00C33400">
        <w:rPr>
          <w:sz w:val="27"/>
          <w:szCs w:val="27"/>
        </w:rPr>
        <w:t>приложения 2 к Пояснительной записке</w:t>
      </w:r>
      <w:r w:rsidR="00C94B35">
        <w:rPr>
          <w:sz w:val="27"/>
          <w:szCs w:val="27"/>
        </w:rPr>
        <w:t>, неосвоени</w:t>
      </w:r>
      <w:r w:rsidR="00F50EB8">
        <w:rPr>
          <w:sz w:val="27"/>
          <w:szCs w:val="27"/>
        </w:rPr>
        <w:t>е</w:t>
      </w:r>
      <w:r w:rsidR="00C94B35">
        <w:rPr>
          <w:sz w:val="27"/>
          <w:szCs w:val="27"/>
        </w:rPr>
        <w:t xml:space="preserve"> средств</w:t>
      </w:r>
      <w:r w:rsidR="00901ED6">
        <w:rPr>
          <w:sz w:val="27"/>
          <w:szCs w:val="27"/>
        </w:rPr>
        <w:t xml:space="preserve"> подраздела</w:t>
      </w:r>
      <w:r w:rsidR="00C94B35">
        <w:rPr>
          <w:sz w:val="27"/>
          <w:szCs w:val="27"/>
        </w:rPr>
        <w:t xml:space="preserve"> в сумме 126 099,7 тыс.рублей </w:t>
      </w:r>
      <w:r w:rsidR="00F50EB8">
        <w:rPr>
          <w:sz w:val="27"/>
          <w:szCs w:val="27"/>
        </w:rPr>
        <w:t>обусловлено отменой</w:t>
      </w:r>
      <w:r>
        <w:rPr>
          <w:sz w:val="27"/>
          <w:szCs w:val="27"/>
        </w:rPr>
        <w:t xml:space="preserve"> аукциона на выполнение работ по повышению эксплуатационной надёжности дома №7/22 по ул.Дружбы по решению Федеральной антимонопольной службы</w:t>
      </w:r>
      <w:r w:rsidR="00F50EB8">
        <w:rPr>
          <w:sz w:val="27"/>
          <w:szCs w:val="27"/>
        </w:rPr>
        <w:t xml:space="preserve"> (123 124,6 тыс.рублей) и </w:t>
      </w:r>
      <w:r w:rsidR="00C94B35">
        <w:rPr>
          <w:sz w:val="27"/>
          <w:szCs w:val="27"/>
        </w:rPr>
        <w:t>экономи</w:t>
      </w:r>
      <w:r w:rsidR="00F50EB8">
        <w:rPr>
          <w:sz w:val="27"/>
          <w:szCs w:val="27"/>
        </w:rPr>
        <w:t>ей</w:t>
      </w:r>
      <w:r w:rsidR="00C94B35">
        <w:rPr>
          <w:sz w:val="27"/>
          <w:szCs w:val="27"/>
        </w:rPr>
        <w:t xml:space="preserve"> </w:t>
      </w:r>
      <w:r w:rsidR="00F50EB8">
        <w:rPr>
          <w:sz w:val="27"/>
          <w:szCs w:val="27"/>
        </w:rPr>
        <w:t>по результатам</w:t>
      </w:r>
      <w:r w:rsidR="00C94B35">
        <w:rPr>
          <w:sz w:val="27"/>
          <w:szCs w:val="27"/>
        </w:rPr>
        <w:t xml:space="preserve"> проведения конкурсных процедур </w:t>
      </w:r>
      <w:r w:rsidR="00F50EB8">
        <w:rPr>
          <w:sz w:val="27"/>
          <w:szCs w:val="27"/>
        </w:rPr>
        <w:t>(1 996,1 тыс.рублей).</w:t>
      </w:r>
    </w:p>
    <w:p w:rsidR="00B74820" w:rsidRDefault="00F50EB8" w:rsidP="00C54A0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подразделу 0502 «Коммунальное хозяйство» при уточнённом плане в сумме 104 564,7 тыс.рублей не исполнены бюджетные назначения на сумму 4 535,</w:t>
      </w:r>
      <w:r w:rsidR="00E776EA">
        <w:rPr>
          <w:sz w:val="27"/>
          <w:szCs w:val="27"/>
        </w:rPr>
        <w:t>0 тыс.рублей в связ</w:t>
      </w:r>
      <w:r w:rsidR="009F2965">
        <w:rPr>
          <w:sz w:val="27"/>
          <w:szCs w:val="27"/>
        </w:rPr>
        <w:t>и с тем, что расходы на возмеще</w:t>
      </w:r>
      <w:r w:rsidR="00E776EA">
        <w:rPr>
          <w:sz w:val="27"/>
          <w:szCs w:val="27"/>
        </w:rPr>
        <w:t>ние предприятиям жилищно-коммунального хозяйства части платы граждан за коммунальные услуги произведены по фактической потребности</w:t>
      </w:r>
      <w:r w:rsidR="009F2965">
        <w:rPr>
          <w:sz w:val="27"/>
          <w:szCs w:val="27"/>
        </w:rPr>
        <w:t>.</w:t>
      </w:r>
    </w:p>
    <w:p w:rsidR="009F2965" w:rsidRDefault="009F2965" w:rsidP="00C54A0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Неисполнение плановых показателей сложилось и по подразделу 0503 «Благоустройство» (при плане 90 428,8 тыс.рублей расходы составили 85 200,1 тыс.рублей или 94,22% к плану) по причине нарушения подрядчиками договорных обязательств.</w:t>
      </w:r>
    </w:p>
    <w:p w:rsidR="00B74820" w:rsidRDefault="00B74820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По сравнению с 2013 годом объём расходов по разделу</w:t>
      </w:r>
      <w:r w:rsidR="009F2965">
        <w:rPr>
          <w:sz w:val="27"/>
          <w:szCs w:val="27"/>
        </w:rPr>
        <w:t xml:space="preserve"> 0500</w:t>
      </w:r>
      <w:r>
        <w:rPr>
          <w:sz w:val="27"/>
          <w:szCs w:val="27"/>
        </w:rPr>
        <w:t xml:space="preserve"> уменьшился </w:t>
      </w:r>
      <w:r w:rsidRPr="00D1178E">
        <w:rPr>
          <w:sz w:val="27"/>
          <w:szCs w:val="27"/>
        </w:rPr>
        <w:t xml:space="preserve">на </w:t>
      </w:r>
      <w:r>
        <w:rPr>
          <w:sz w:val="27"/>
          <w:szCs w:val="27"/>
        </w:rPr>
        <w:t>20 549,5 тыс.рублей</w:t>
      </w:r>
      <w:r w:rsidRPr="00D1178E">
        <w:rPr>
          <w:sz w:val="27"/>
          <w:szCs w:val="27"/>
        </w:rPr>
        <w:t xml:space="preserve"> или на </w:t>
      </w:r>
      <w:r>
        <w:rPr>
          <w:sz w:val="27"/>
          <w:szCs w:val="27"/>
        </w:rPr>
        <w:t>4,35% (основная причина – сокращение расходов на мероприятия по приведению объектов города в состояние, обеспечивающее безопасное проживание его жителей).</w:t>
      </w:r>
      <w:r w:rsidR="005D1816">
        <w:rPr>
          <w:sz w:val="27"/>
          <w:szCs w:val="27"/>
        </w:rPr>
        <w:t xml:space="preserve"> Сократился и удельный вес расходов раздела в общем объёме бюджетных расходов: с 13,15% в 2013 году до 11,75% – в отчётном.</w:t>
      </w:r>
    </w:p>
    <w:p w:rsidR="001F69FC" w:rsidRPr="008F1385" w:rsidRDefault="001F69FC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Плановые назначения</w:t>
      </w:r>
      <w:r w:rsidR="00924E0E" w:rsidRPr="00F179B8">
        <w:rPr>
          <w:sz w:val="27"/>
          <w:szCs w:val="27"/>
        </w:rPr>
        <w:t xml:space="preserve"> по разделу </w:t>
      </w:r>
      <w:r w:rsidR="00924E0E" w:rsidRPr="009F2965">
        <w:rPr>
          <w:b/>
          <w:sz w:val="27"/>
          <w:szCs w:val="27"/>
        </w:rPr>
        <w:t>0600 «Охрана окружающей среды»</w:t>
      </w:r>
      <w:r w:rsidR="00924E0E" w:rsidRPr="00F179B8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были утверждены в сумме 489 972,6 тыс.рублей, исполнение составило 25,8 тыс.рублей или 0,01% от плана. Согласно Пояснительной записке средства в сумме 489 946,7 тыс.рублей не освоены в связи с расторжением контракта</w:t>
      </w:r>
      <w:r w:rsidR="008F1385">
        <w:rPr>
          <w:sz w:val="27"/>
          <w:szCs w:val="27"/>
        </w:rPr>
        <w:t xml:space="preserve"> на п</w:t>
      </w:r>
      <w:r w:rsidR="00901ED6">
        <w:rPr>
          <w:sz w:val="27"/>
          <w:szCs w:val="27"/>
        </w:rPr>
        <w:t>р</w:t>
      </w:r>
      <w:r w:rsidR="008F1385">
        <w:rPr>
          <w:sz w:val="27"/>
          <w:szCs w:val="27"/>
        </w:rPr>
        <w:t xml:space="preserve">оектно-изыскательские работы на строительство </w:t>
      </w:r>
      <w:r w:rsidR="008F1385" w:rsidRPr="008F1385">
        <w:rPr>
          <w:sz w:val="27"/>
          <w:szCs w:val="27"/>
        </w:rPr>
        <w:t>полигона захоронения, утилизации и переработки твердых промышленных, нерадиоактивных и бытовых отходов</w:t>
      </w:r>
      <w:r w:rsidR="00AA281D">
        <w:rPr>
          <w:sz w:val="27"/>
          <w:szCs w:val="27"/>
        </w:rPr>
        <w:t xml:space="preserve"> по причине неисполнения</w:t>
      </w:r>
      <w:r w:rsidR="008F1385">
        <w:rPr>
          <w:sz w:val="27"/>
          <w:szCs w:val="27"/>
        </w:rPr>
        <w:t xml:space="preserve"> подрядной организацией обязательств по контракту (новый контракт заключен в ноябре 2014 года со сроком выполнения работ – 250 календарных дней).</w:t>
      </w:r>
    </w:p>
    <w:p w:rsidR="001F69FC" w:rsidRPr="00F82DA8" w:rsidRDefault="00F82DA8" w:rsidP="00C54A0B">
      <w:pPr>
        <w:ind w:firstLine="709"/>
        <w:jc w:val="both"/>
        <w:rPr>
          <w:sz w:val="27"/>
          <w:szCs w:val="27"/>
        </w:rPr>
      </w:pPr>
      <w:r w:rsidRPr="00F82DA8">
        <w:rPr>
          <w:sz w:val="27"/>
          <w:szCs w:val="27"/>
        </w:rPr>
        <w:t>В 2013 году расходы на охрану окружающей среды</w:t>
      </w:r>
      <w:r>
        <w:rPr>
          <w:sz w:val="27"/>
          <w:szCs w:val="27"/>
        </w:rPr>
        <w:t xml:space="preserve"> </w:t>
      </w:r>
      <w:r w:rsidR="005D1816">
        <w:rPr>
          <w:sz w:val="27"/>
          <w:szCs w:val="27"/>
        </w:rPr>
        <w:t>произведены</w:t>
      </w:r>
      <w:r>
        <w:rPr>
          <w:sz w:val="27"/>
          <w:szCs w:val="27"/>
        </w:rPr>
        <w:t xml:space="preserve"> </w:t>
      </w:r>
      <w:r w:rsidR="005D1816">
        <w:rPr>
          <w:sz w:val="27"/>
          <w:szCs w:val="27"/>
        </w:rPr>
        <w:t xml:space="preserve">на сумму </w:t>
      </w:r>
      <w:r>
        <w:rPr>
          <w:sz w:val="27"/>
          <w:szCs w:val="27"/>
        </w:rPr>
        <w:t>953,3 тыс.рублей.</w:t>
      </w:r>
    </w:p>
    <w:p w:rsidR="00805FB3" w:rsidRDefault="00F82DA8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Объём уточнённых б</w:t>
      </w:r>
      <w:r w:rsidR="00924E0E" w:rsidRPr="00F179B8">
        <w:rPr>
          <w:sz w:val="27"/>
          <w:szCs w:val="27"/>
        </w:rPr>
        <w:t>юджетны</w:t>
      </w:r>
      <w:r>
        <w:rPr>
          <w:sz w:val="27"/>
          <w:szCs w:val="27"/>
        </w:rPr>
        <w:t>х</w:t>
      </w:r>
      <w:r w:rsidR="00924E0E" w:rsidRPr="00F179B8">
        <w:rPr>
          <w:sz w:val="27"/>
          <w:szCs w:val="27"/>
        </w:rPr>
        <w:t xml:space="preserve"> ассигновани</w:t>
      </w:r>
      <w:r>
        <w:rPr>
          <w:sz w:val="27"/>
          <w:szCs w:val="27"/>
        </w:rPr>
        <w:t>й</w:t>
      </w:r>
      <w:r w:rsidR="00924E0E" w:rsidRPr="00F179B8">
        <w:rPr>
          <w:sz w:val="27"/>
          <w:szCs w:val="27"/>
        </w:rPr>
        <w:t xml:space="preserve"> по разделу </w:t>
      </w:r>
      <w:r w:rsidR="00924E0E" w:rsidRPr="00F82DA8">
        <w:rPr>
          <w:b/>
          <w:sz w:val="27"/>
          <w:szCs w:val="27"/>
        </w:rPr>
        <w:t>0700 «Образование»</w:t>
      </w:r>
      <w:r w:rsidR="00924E0E" w:rsidRPr="00F179B8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составил</w:t>
      </w:r>
      <w:r w:rsidR="00924E0E" w:rsidRPr="00F179B8">
        <w:rPr>
          <w:sz w:val="27"/>
          <w:szCs w:val="27"/>
        </w:rPr>
        <w:t xml:space="preserve"> 1</w:t>
      </w:r>
      <w:r>
        <w:rPr>
          <w:sz w:val="27"/>
          <w:szCs w:val="27"/>
        </w:rPr>
        <w:t> 598 834,0</w:t>
      </w:r>
      <w:r w:rsidR="00924E0E" w:rsidRPr="00F179B8">
        <w:rPr>
          <w:sz w:val="27"/>
          <w:szCs w:val="27"/>
        </w:rPr>
        <w:t xml:space="preserve"> тыс.рублей</w:t>
      </w:r>
      <w:r w:rsidR="00805FB3">
        <w:rPr>
          <w:sz w:val="27"/>
          <w:szCs w:val="27"/>
        </w:rPr>
        <w:t xml:space="preserve">, расходы сложились </w:t>
      </w:r>
      <w:r w:rsidR="005D1816">
        <w:rPr>
          <w:sz w:val="27"/>
          <w:szCs w:val="27"/>
        </w:rPr>
        <w:t xml:space="preserve">в сумме </w:t>
      </w:r>
      <w:r w:rsidR="00805FB3">
        <w:rPr>
          <w:sz w:val="27"/>
          <w:szCs w:val="27"/>
        </w:rPr>
        <w:t>1 575 132,6 тыс.рублей или 98,52% к плану. По сравнению с 2013 годом расходы по разделу увеличились на 68 313,3 тыс.рублей за счёт роста расходов на</w:t>
      </w:r>
      <w:r w:rsidR="005D1816">
        <w:rPr>
          <w:sz w:val="27"/>
          <w:szCs w:val="27"/>
        </w:rPr>
        <w:t xml:space="preserve"> </w:t>
      </w:r>
      <w:r w:rsidR="00805FB3">
        <w:rPr>
          <w:sz w:val="27"/>
          <w:szCs w:val="27"/>
        </w:rPr>
        <w:t>общ</w:t>
      </w:r>
      <w:r w:rsidR="005D1816">
        <w:rPr>
          <w:sz w:val="27"/>
          <w:szCs w:val="27"/>
        </w:rPr>
        <w:t xml:space="preserve">ее (на 37 609,9 тыс.рублей) и дошкольное (на 28 920,0 тыс.рублей) </w:t>
      </w:r>
      <w:r w:rsidR="00805FB3">
        <w:rPr>
          <w:sz w:val="27"/>
          <w:szCs w:val="27"/>
        </w:rPr>
        <w:t>образование</w:t>
      </w:r>
      <w:r w:rsidR="005D1816">
        <w:rPr>
          <w:sz w:val="27"/>
          <w:szCs w:val="27"/>
        </w:rPr>
        <w:t>.</w:t>
      </w:r>
      <w:r w:rsidR="00B80573">
        <w:rPr>
          <w:sz w:val="27"/>
          <w:szCs w:val="27"/>
        </w:rPr>
        <w:t xml:space="preserve"> Удельный вес расходов раздела в общем объёме расходов снизился </w:t>
      </w:r>
      <w:r w:rsidR="000B7D9C">
        <w:rPr>
          <w:sz w:val="27"/>
          <w:szCs w:val="27"/>
        </w:rPr>
        <w:t xml:space="preserve">к 2013 году </w:t>
      </w:r>
      <w:r w:rsidR="00B80573">
        <w:rPr>
          <w:sz w:val="27"/>
          <w:szCs w:val="27"/>
        </w:rPr>
        <w:t>на 0,96 процентных пункта</w:t>
      </w:r>
      <w:r w:rsidR="00831F58">
        <w:rPr>
          <w:sz w:val="27"/>
          <w:szCs w:val="27"/>
        </w:rPr>
        <w:t xml:space="preserve"> и составил 40,93%</w:t>
      </w:r>
      <w:r w:rsidR="00B80573">
        <w:rPr>
          <w:sz w:val="27"/>
          <w:szCs w:val="27"/>
        </w:rPr>
        <w:t>.</w:t>
      </w:r>
    </w:p>
    <w:p w:rsidR="00B80573" w:rsidRDefault="00B80573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Общая сумма неисполнения план</w:t>
      </w:r>
      <w:r w:rsidR="004203CC">
        <w:rPr>
          <w:sz w:val="27"/>
          <w:szCs w:val="27"/>
        </w:rPr>
        <w:t>овых назначений</w:t>
      </w:r>
      <w:r>
        <w:rPr>
          <w:sz w:val="27"/>
          <w:szCs w:val="27"/>
        </w:rPr>
        <w:t xml:space="preserve"> по разделу составила 23 701,4 тыс.рублей, в том числе:</w:t>
      </w:r>
    </w:p>
    <w:p w:rsidR="00B80573" w:rsidRDefault="00B80573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подразделу 0701 «Дошкольное образование» средства в сумме 16 000,0 тыс.рублей не освоены по причине заключения контракта на строительство дошкольного учреждения</w:t>
      </w:r>
      <w:r w:rsidR="00901ED6">
        <w:rPr>
          <w:sz w:val="27"/>
          <w:szCs w:val="27"/>
        </w:rPr>
        <w:t xml:space="preserve"> лишь </w:t>
      </w:r>
      <w:r>
        <w:rPr>
          <w:sz w:val="27"/>
          <w:szCs w:val="27"/>
        </w:rPr>
        <w:t>в декабре 2014 года в связи с нарушением сроков изготовления проектной документации на строительство;</w:t>
      </w:r>
    </w:p>
    <w:p w:rsidR="00B80573" w:rsidRDefault="00B80573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подразделу 0702 «Общее образование»</w:t>
      </w:r>
      <w:r w:rsidR="004203CC">
        <w:rPr>
          <w:sz w:val="27"/>
          <w:szCs w:val="27"/>
        </w:rPr>
        <w:t xml:space="preserve"> невыполнение планового показателя обусловлено поступлением средств из областного и федерального бюджетов не в полном объёме (5 655,7 тыс.рублей), </w:t>
      </w:r>
      <w:r w:rsidR="00D718CE">
        <w:rPr>
          <w:sz w:val="27"/>
          <w:szCs w:val="27"/>
        </w:rPr>
        <w:t>нарушением подрядчиком сроков выполнения работ по устройству ограждения территории МОУ СОШ №12 (397,1 тыс.рублей)</w:t>
      </w:r>
      <w:r w:rsidR="004203CC">
        <w:rPr>
          <w:sz w:val="27"/>
          <w:szCs w:val="27"/>
        </w:rPr>
        <w:t xml:space="preserve"> </w:t>
      </w:r>
      <w:r w:rsidR="00D718CE">
        <w:rPr>
          <w:sz w:val="27"/>
          <w:szCs w:val="27"/>
        </w:rPr>
        <w:t xml:space="preserve">и </w:t>
      </w:r>
      <w:r w:rsidR="004203CC">
        <w:rPr>
          <w:sz w:val="27"/>
          <w:szCs w:val="27"/>
        </w:rPr>
        <w:t>экономией, сложившейся по результатам конкурсных процедур (175,5 тыс.рублей)</w:t>
      </w:r>
      <w:r w:rsidR="00D718CE">
        <w:rPr>
          <w:sz w:val="27"/>
          <w:szCs w:val="27"/>
        </w:rPr>
        <w:t>.</w:t>
      </w:r>
      <w:r w:rsidR="004203CC">
        <w:rPr>
          <w:sz w:val="27"/>
          <w:szCs w:val="27"/>
        </w:rPr>
        <w:t xml:space="preserve"> </w:t>
      </w:r>
    </w:p>
    <w:p w:rsidR="00183F12" w:rsidRDefault="00924E0E" w:rsidP="00C54A0B">
      <w:pPr>
        <w:ind w:firstLine="709"/>
        <w:jc w:val="both"/>
        <w:rPr>
          <w:sz w:val="27"/>
          <w:szCs w:val="27"/>
        </w:rPr>
      </w:pPr>
      <w:r w:rsidRPr="00F179B8">
        <w:rPr>
          <w:sz w:val="27"/>
          <w:szCs w:val="27"/>
        </w:rPr>
        <w:t xml:space="preserve">Расходы по разделу </w:t>
      </w:r>
      <w:r w:rsidRPr="0066412F">
        <w:rPr>
          <w:b/>
          <w:sz w:val="27"/>
          <w:szCs w:val="27"/>
        </w:rPr>
        <w:t>0800 «Культура, кинематография»</w:t>
      </w:r>
      <w:r w:rsidRPr="00F179B8">
        <w:rPr>
          <w:b/>
          <w:sz w:val="27"/>
          <w:szCs w:val="27"/>
        </w:rPr>
        <w:t xml:space="preserve"> </w:t>
      </w:r>
      <w:r w:rsidR="0066412F">
        <w:rPr>
          <w:sz w:val="27"/>
          <w:szCs w:val="27"/>
        </w:rPr>
        <w:t>исполнены в сумме 127 926,2</w:t>
      </w:r>
      <w:r w:rsidR="00AA281D">
        <w:rPr>
          <w:sz w:val="27"/>
          <w:szCs w:val="27"/>
        </w:rPr>
        <w:t xml:space="preserve"> тыс.рублей</w:t>
      </w:r>
      <w:r w:rsidRPr="00F179B8">
        <w:rPr>
          <w:sz w:val="27"/>
          <w:szCs w:val="27"/>
        </w:rPr>
        <w:t xml:space="preserve"> или </w:t>
      </w:r>
      <w:r w:rsidR="0066412F">
        <w:rPr>
          <w:sz w:val="27"/>
          <w:szCs w:val="27"/>
        </w:rPr>
        <w:t>на 95,88</w:t>
      </w:r>
      <w:r w:rsidRPr="00F179B8">
        <w:rPr>
          <w:sz w:val="27"/>
          <w:szCs w:val="27"/>
        </w:rPr>
        <w:t>% к уточнённому плану (</w:t>
      </w:r>
      <w:r w:rsidR="0066412F">
        <w:rPr>
          <w:sz w:val="27"/>
          <w:szCs w:val="27"/>
        </w:rPr>
        <w:t>133 423,6</w:t>
      </w:r>
      <w:r w:rsidR="00417ABB">
        <w:rPr>
          <w:sz w:val="27"/>
          <w:szCs w:val="27"/>
        </w:rPr>
        <w:t xml:space="preserve"> тыс.рублей), неосвоение средств составило 5 497,4 тыс.рублей.</w:t>
      </w:r>
      <w:r w:rsidRPr="00F179B8">
        <w:rPr>
          <w:sz w:val="27"/>
          <w:szCs w:val="27"/>
        </w:rPr>
        <w:t xml:space="preserve"> Удельный вес расходов на культуру в расходах местного бюджета </w:t>
      </w:r>
      <w:r w:rsidR="0066412F">
        <w:rPr>
          <w:sz w:val="27"/>
          <w:szCs w:val="27"/>
        </w:rPr>
        <w:t>2014 год</w:t>
      </w:r>
      <w:r w:rsidR="00183F12">
        <w:rPr>
          <w:sz w:val="27"/>
          <w:szCs w:val="27"/>
        </w:rPr>
        <w:t>а</w:t>
      </w:r>
      <w:r w:rsidR="0066412F">
        <w:rPr>
          <w:sz w:val="27"/>
          <w:szCs w:val="27"/>
        </w:rPr>
        <w:t xml:space="preserve"> сос</w:t>
      </w:r>
      <w:r w:rsidR="0090408F">
        <w:rPr>
          <w:sz w:val="27"/>
          <w:szCs w:val="27"/>
        </w:rPr>
        <w:t>т</w:t>
      </w:r>
      <w:r w:rsidR="0066412F">
        <w:rPr>
          <w:sz w:val="27"/>
          <w:szCs w:val="27"/>
        </w:rPr>
        <w:t>авляет 3,32%, что незначительно (на 0,</w:t>
      </w:r>
      <w:r w:rsidR="0090408F">
        <w:rPr>
          <w:sz w:val="27"/>
          <w:szCs w:val="27"/>
        </w:rPr>
        <w:t>76</w:t>
      </w:r>
      <w:r w:rsidR="0066412F">
        <w:rPr>
          <w:sz w:val="27"/>
          <w:szCs w:val="27"/>
        </w:rPr>
        <w:t xml:space="preserve"> процентных пункта) выше аналогичного показателя предыдущего</w:t>
      </w:r>
      <w:r w:rsidR="00FF258A">
        <w:rPr>
          <w:sz w:val="27"/>
          <w:szCs w:val="27"/>
        </w:rPr>
        <w:t xml:space="preserve"> года</w:t>
      </w:r>
      <w:r w:rsidR="0066412F">
        <w:rPr>
          <w:sz w:val="27"/>
          <w:szCs w:val="27"/>
        </w:rPr>
        <w:t>.</w:t>
      </w:r>
      <w:r w:rsidR="00FF258A">
        <w:rPr>
          <w:sz w:val="27"/>
          <w:szCs w:val="27"/>
        </w:rPr>
        <w:t xml:space="preserve"> </w:t>
      </w:r>
    </w:p>
    <w:p w:rsidR="00F504DC" w:rsidRDefault="00FF258A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сравнению с 2013 годом расходы по разделу увеличились на 35 947,</w:t>
      </w:r>
      <w:r w:rsidR="00183F12">
        <w:rPr>
          <w:sz w:val="27"/>
          <w:szCs w:val="27"/>
        </w:rPr>
        <w:t>4 тыс.рублей или на 39,08%, в том числе вследствие выделения средств</w:t>
      </w:r>
      <w:r w:rsidR="00F504DC">
        <w:rPr>
          <w:sz w:val="27"/>
          <w:szCs w:val="27"/>
        </w:rPr>
        <w:t>:</w:t>
      </w:r>
    </w:p>
    <w:p w:rsidR="00783E41" w:rsidRDefault="00183F12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капитальный ремонт учреждений культуры </w:t>
      </w:r>
      <w:r w:rsidR="00783E41">
        <w:rPr>
          <w:sz w:val="27"/>
          <w:szCs w:val="27"/>
        </w:rPr>
        <w:t xml:space="preserve">в рамках подготовки к </w:t>
      </w:r>
      <w:r w:rsidR="00F504DC">
        <w:rPr>
          <w:sz w:val="27"/>
          <w:szCs w:val="27"/>
        </w:rPr>
        <w:t>праздновани</w:t>
      </w:r>
      <w:r w:rsidR="00783E41">
        <w:rPr>
          <w:sz w:val="27"/>
          <w:szCs w:val="27"/>
        </w:rPr>
        <w:t>ю</w:t>
      </w:r>
      <w:r w:rsidR="00F504DC">
        <w:rPr>
          <w:sz w:val="27"/>
          <w:szCs w:val="27"/>
        </w:rPr>
        <w:t xml:space="preserve"> </w:t>
      </w:r>
      <w:r>
        <w:rPr>
          <w:sz w:val="27"/>
          <w:szCs w:val="27"/>
        </w:rPr>
        <w:t>70-</w:t>
      </w:r>
      <w:r w:rsidR="00F504DC">
        <w:rPr>
          <w:sz w:val="27"/>
          <w:szCs w:val="27"/>
        </w:rPr>
        <w:t>й</w:t>
      </w:r>
      <w:r>
        <w:rPr>
          <w:sz w:val="27"/>
          <w:szCs w:val="27"/>
        </w:rPr>
        <w:t xml:space="preserve"> годовщины </w:t>
      </w:r>
      <w:r w:rsidR="00F504DC">
        <w:rPr>
          <w:sz w:val="27"/>
          <w:szCs w:val="27"/>
        </w:rPr>
        <w:t>Победы в Великой Отечественной войне в сумме 17 113,2 тыс.рублей (плановы</w:t>
      </w:r>
      <w:r w:rsidR="00783E41">
        <w:rPr>
          <w:sz w:val="27"/>
          <w:szCs w:val="27"/>
        </w:rPr>
        <w:t>е</w:t>
      </w:r>
      <w:r w:rsidR="00F504DC">
        <w:rPr>
          <w:sz w:val="27"/>
          <w:szCs w:val="27"/>
        </w:rPr>
        <w:t xml:space="preserve"> назначени</w:t>
      </w:r>
      <w:r w:rsidR="00783E41">
        <w:rPr>
          <w:sz w:val="27"/>
          <w:szCs w:val="27"/>
        </w:rPr>
        <w:t xml:space="preserve">я в отчётном году не исполнены </w:t>
      </w:r>
      <w:r w:rsidR="00783E41">
        <w:rPr>
          <w:sz w:val="27"/>
          <w:szCs w:val="27"/>
        </w:rPr>
        <w:lastRenderedPageBreak/>
        <w:t>на сумму 1 359,5 тыс.рублей из-за неблагоприятных погодных условий при выполнении капитального ремонта фасада МАУК Дворец культуры «Октябрь»);</w:t>
      </w:r>
    </w:p>
    <w:p w:rsidR="0066412F" w:rsidRDefault="00F504DC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разработку проектной документации на строительство Духовно-просветительского центра в г.Волгодонске</w:t>
      </w:r>
      <w:r w:rsidR="00783E41">
        <w:rPr>
          <w:sz w:val="27"/>
          <w:szCs w:val="27"/>
        </w:rPr>
        <w:t xml:space="preserve"> в сумме </w:t>
      </w:r>
      <w:r>
        <w:rPr>
          <w:sz w:val="27"/>
          <w:szCs w:val="27"/>
        </w:rPr>
        <w:t>7 447,0 тыс.рублей</w:t>
      </w:r>
      <w:r w:rsidR="00783E41">
        <w:rPr>
          <w:sz w:val="27"/>
          <w:szCs w:val="27"/>
        </w:rPr>
        <w:t xml:space="preserve"> (средства в сумме 3 897,0 тыс.рублей не освоены, что обусловлено экономией, сложившейся по результатам конкурсных процедур).</w:t>
      </w:r>
    </w:p>
    <w:p w:rsidR="00087247" w:rsidRDefault="00924E0E" w:rsidP="00C54A0B">
      <w:pPr>
        <w:ind w:firstLine="709"/>
        <w:jc w:val="both"/>
        <w:rPr>
          <w:sz w:val="27"/>
          <w:szCs w:val="27"/>
        </w:rPr>
      </w:pPr>
      <w:r w:rsidRPr="00F179B8">
        <w:rPr>
          <w:sz w:val="27"/>
          <w:szCs w:val="27"/>
        </w:rPr>
        <w:t xml:space="preserve">Уточнённые бюджетные ассигнования по разделу </w:t>
      </w:r>
      <w:r w:rsidRPr="00087247">
        <w:rPr>
          <w:b/>
          <w:sz w:val="27"/>
          <w:szCs w:val="27"/>
        </w:rPr>
        <w:t>0900 «Здравоохранение»</w:t>
      </w:r>
      <w:r w:rsidRPr="00F179B8">
        <w:rPr>
          <w:b/>
          <w:sz w:val="27"/>
          <w:szCs w:val="27"/>
        </w:rPr>
        <w:t xml:space="preserve"> </w:t>
      </w:r>
      <w:r w:rsidRPr="00F179B8">
        <w:rPr>
          <w:sz w:val="27"/>
          <w:szCs w:val="27"/>
        </w:rPr>
        <w:t>утверждены в сумме</w:t>
      </w:r>
      <w:r w:rsidR="00087247">
        <w:rPr>
          <w:sz w:val="27"/>
          <w:szCs w:val="27"/>
        </w:rPr>
        <w:t xml:space="preserve"> 90 643,1</w:t>
      </w:r>
      <w:r w:rsidRPr="00F179B8">
        <w:rPr>
          <w:sz w:val="27"/>
          <w:szCs w:val="27"/>
        </w:rPr>
        <w:t xml:space="preserve"> тыс.рублей. </w:t>
      </w:r>
      <w:r w:rsidR="00087247">
        <w:rPr>
          <w:sz w:val="27"/>
          <w:szCs w:val="27"/>
        </w:rPr>
        <w:t>Расходы на здравоохранение исполнены в отчётном году в сумме 79 486,4 тыс.рублей или 87,69% к плану. Неисполнение сложилось в сумме 11 156,7 тыс.рублей</w:t>
      </w:r>
      <w:r w:rsidR="00AA281D">
        <w:rPr>
          <w:sz w:val="27"/>
          <w:szCs w:val="27"/>
        </w:rPr>
        <w:t>,</w:t>
      </w:r>
      <w:r w:rsidR="00087247">
        <w:rPr>
          <w:sz w:val="27"/>
          <w:szCs w:val="27"/>
        </w:rPr>
        <w:t xml:space="preserve"> в основном</w:t>
      </w:r>
      <w:r w:rsidR="00AA281D">
        <w:rPr>
          <w:sz w:val="27"/>
          <w:szCs w:val="27"/>
        </w:rPr>
        <w:t>,</w:t>
      </w:r>
      <w:r w:rsidR="00087247">
        <w:rPr>
          <w:sz w:val="27"/>
          <w:szCs w:val="27"/>
        </w:rPr>
        <w:t xml:space="preserve"> по подразделу 0901 «Стационарная медицинская помощь» (99,29% </w:t>
      </w:r>
      <w:r w:rsidR="00417ABB">
        <w:rPr>
          <w:sz w:val="27"/>
          <w:szCs w:val="27"/>
        </w:rPr>
        <w:t xml:space="preserve">всего </w:t>
      </w:r>
      <w:r w:rsidR="00087247">
        <w:rPr>
          <w:sz w:val="27"/>
          <w:szCs w:val="27"/>
        </w:rPr>
        <w:t>объёма неосвоенных средств)</w:t>
      </w:r>
      <w:r w:rsidR="00221C80">
        <w:rPr>
          <w:sz w:val="27"/>
          <w:szCs w:val="27"/>
        </w:rPr>
        <w:t>. Как следует из Пояснительной</w:t>
      </w:r>
      <w:r w:rsidR="00940B38">
        <w:rPr>
          <w:sz w:val="27"/>
          <w:szCs w:val="27"/>
        </w:rPr>
        <w:t xml:space="preserve"> записки и приложения №2 к ней,</w:t>
      </w:r>
      <w:r w:rsidR="00221C80">
        <w:rPr>
          <w:sz w:val="27"/>
          <w:szCs w:val="27"/>
        </w:rPr>
        <w:t xml:space="preserve"> в 2014 году не освоены средства, предусмотренные бюджетом города:</w:t>
      </w:r>
    </w:p>
    <w:p w:rsidR="00087247" w:rsidRDefault="00221C80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разработку</w:t>
      </w:r>
      <w:r w:rsidR="008C6729">
        <w:rPr>
          <w:sz w:val="27"/>
          <w:szCs w:val="27"/>
        </w:rPr>
        <w:t xml:space="preserve"> проектной документации на капитальный ремонт терапевтического корпуса</w:t>
      </w:r>
      <w:r>
        <w:rPr>
          <w:sz w:val="27"/>
          <w:szCs w:val="27"/>
        </w:rPr>
        <w:t xml:space="preserve"> МУЗ «Городская больница №1» в сумме 5 426,9 тыс.рублей (документация проходит государственную экспертизу);</w:t>
      </w:r>
    </w:p>
    <w:p w:rsidR="00087247" w:rsidRDefault="00221C80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капитальн</w:t>
      </w:r>
      <w:r w:rsidR="00EC72AC">
        <w:rPr>
          <w:sz w:val="27"/>
          <w:szCs w:val="27"/>
        </w:rPr>
        <w:t>ый ремонт</w:t>
      </w:r>
      <w:r>
        <w:rPr>
          <w:sz w:val="27"/>
          <w:szCs w:val="27"/>
        </w:rPr>
        <w:t xml:space="preserve"> инфекционного отделения МУЗ «Детская городская больница» в сумме 2 382,6 тыс.рублей (в связи с отсутствием финансир</w:t>
      </w:r>
      <w:r w:rsidR="00EC72AC">
        <w:rPr>
          <w:sz w:val="27"/>
          <w:szCs w:val="27"/>
        </w:rPr>
        <w:t xml:space="preserve">ования из областного бюджета. </w:t>
      </w:r>
      <w:r w:rsidR="00EC72AC" w:rsidRPr="00EC72AC">
        <w:rPr>
          <w:i/>
          <w:sz w:val="27"/>
          <w:szCs w:val="27"/>
        </w:rPr>
        <w:t>Справочно:</w:t>
      </w:r>
      <w:r w:rsidR="00EC72AC">
        <w:rPr>
          <w:sz w:val="27"/>
          <w:szCs w:val="27"/>
        </w:rPr>
        <w:t xml:space="preserve"> </w:t>
      </w:r>
      <w:r w:rsidR="00EC72AC" w:rsidRPr="00EC72AC">
        <w:rPr>
          <w:i/>
          <w:sz w:val="27"/>
          <w:szCs w:val="27"/>
        </w:rPr>
        <w:t xml:space="preserve">с </w:t>
      </w:r>
      <w:r w:rsidRPr="00EC72AC">
        <w:rPr>
          <w:i/>
          <w:sz w:val="27"/>
          <w:szCs w:val="27"/>
        </w:rPr>
        <w:t>целью недопущения кредиторской задолженности для расчётов с подрядчиком выделены средства ме</w:t>
      </w:r>
      <w:r w:rsidR="00EC72AC" w:rsidRPr="00EC72AC">
        <w:rPr>
          <w:i/>
          <w:sz w:val="27"/>
          <w:szCs w:val="27"/>
        </w:rPr>
        <w:t>с</w:t>
      </w:r>
      <w:r w:rsidRPr="00EC72AC">
        <w:rPr>
          <w:i/>
          <w:sz w:val="27"/>
          <w:szCs w:val="27"/>
        </w:rPr>
        <w:t>тного бюджета</w:t>
      </w:r>
      <w:r>
        <w:rPr>
          <w:sz w:val="27"/>
          <w:szCs w:val="27"/>
        </w:rPr>
        <w:t>);</w:t>
      </w:r>
    </w:p>
    <w:p w:rsidR="00087247" w:rsidRDefault="00EC72AC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текущий ремонт инфекционного отделения МУЗ «Городская больница №1» в сумме 2 013,8 тыс.рублей (подрядчиками нарушены сроки выполнения работ по контракту)</w:t>
      </w:r>
      <w:r w:rsidR="00417ABB">
        <w:rPr>
          <w:sz w:val="27"/>
          <w:szCs w:val="27"/>
        </w:rPr>
        <w:t>;</w:t>
      </w:r>
    </w:p>
    <w:p w:rsidR="00EC72AC" w:rsidRDefault="00EC72AC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компенсацию расходов по оказанию медицинской помощи гражданам Украины</w:t>
      </w:r>
      <w:r w:rsidR="00417ABB">
        <w:rPr>
          <w:sz w:val="27"/>
          <w:szCs w:val="27"/>
        </w:rPr>
        <w:t xml:space="preserve"> </w:t>
      </w:r>
      <w:r>
        <w:rPr>
          <w:sz w:val="27"/>
          <w:szCs w:val="27"/>
        </w:rPr>
        <w:t>– 1 055,7 тыс.рублей (в том числе не поступил</w:t>
      </w:r>
      <w:r w:rsidR="00417ABB">
        <w:rPr>
          <w:sz w:val="27"/>
          <w:szCs w:val="27"/>
        </w:rPr>
        <w:t>и</w:t>
      </w:r>
      <w:r>
        <w:rPr>
          <w:sz w:val="27"/>
          <w:szCs w:val="27"/>
        </w:rPr>
        <w:t xml:space="preserve"> из областного бюджета </w:t>
      </w:r>
      <w:r w:rsidR="00417ABB">
        <w:rPr>
          <w:sz w:val="27"/>
          <w:szCs w:val="27"/>
        </w:rPr>
        <w:t xml:space="preserve">средства в сумме 882,9 тыс.рублей </w:t>
      </w:r>
      <w:r>
        <w:rPr>
          <w:sz w:val="27"/>
          <w:szCs w:val="27"/>
        </w:rPr>
        <w:t xml:space="preserve">в связи с выделением </w:t>
      </w:r>
      <w:r w:rsidR="0078274E">
        <w:rPr>
          <w:sz w:val="27"/>
          <w:szCs w:val="27"/>
        </w:rPr>
        <w:t xml:space="preserve">на аналогичные цели </w:t>
      </w:r>
      <w:r>
        <w:rPr>
          <w:sz w:val="27"/>
          <w:szCs w:val="27"/>
        </w:rPr>
        <w:t>средств федерального бюджета</w:t>
      </w:r>
      <w:r w:rsidR="0078274E">
        <w:rPr>
          <w:sz w:val="27"/>
          <w:szCs w:val="27"/>
        </w:rPr>
        <w:t>).</w:t>
      </w:r>
    </w:p>
    <w:p w:rsidR="00EC72AC" w:rsidRDefault="00940B38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долю раздела в 2014</w:t>
      </w:r>
      <w:r w:rsidRPr="00F179B8">
        <w:rPr>
          <w:sz w:val="27"/>
          <w:szCs w:val="27"/>
        </w:rPr>
        <w:t xml:space="preserve"> году приходилось </w:t>
      </w:r>
      <w:r>
        <w:rPr>
          <w:sz w:val="27"/>
          <w:szCs w:val="27"/>
        </w:rPr>
        <w:t>2,07</w:t>
      </w:r>
      <w:r w:rsidRPr="00F179B8">
        <w:rPr>
          <w:sz w:val="27"/>
          <w:szCs w:val="27"/>
        </w:rPr>
        <w:t xml:space="preserve">% в общей сумме </w:t>
      </w:r>
      <w:r>
        <w:rPr>
          <w:sz w:val="27"/>
          <w:szCs w:val="27"/>
        </w:rPr>
        <w:t xml:space="preserve">бюджетных </w:t>
      </w:r>
      <w:r w:rsidRPr="00F179B8">
        <w:rPr>
          <w:sz w:val="27"/>
          <w:szCs w:val="27"/>
        </w:rPr>
        <w:t>расходов</w:t>
      </w:r>
      <w:r>
        <w:rPr>
          <w:sz w:val="27"/>
          <w:szCs w:val="27"/>
        </w:rPr>
        <w:t>. По сравнению с 2013 годом объём расходов на здравоохранение увеличился на 10 637,6 тыс.рублей или на 15,45%.</w:t>
      </w:r>
    </w:p>
    <w:p w:rsidR="00EC72AC" w:rsidRPr="00940B38" w:rsidRDefault="00940B38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Бюджетные ассигнования по разделу </w:t>
      </w:r>
      <w:r w:rsidRPr="00940B38">
        <w:rPr>
          <w:b/>
          <w:sz w:val="27"/>
          <w:szCs w:val="27"/>
        </w:rPr>
        <w:t>1000 «Социальная политика»</w:t>
      </w:r>
      <w:r>
        <w:rPr>
          <w:b/>
          <w:sz w:val="27"/>
          <w:szCs w:val="27"/>
        </w:rPr>
        <w:t xml:space="preserve"> </w:t>
      </w:r>
      <w:r w:rsidRPr="00940B38">
        <w:rPr>
          <w:sz w:val="27"/>
          <w:szCs w:val="27"/>
        </w:rPr>
        <w:t>первоначально утверждены в сумме 1 001 418,6 тыс.рублей</w:t>
      </w:r>
      <w:r>
        <w:rPr>
          <w:sz w:val="27"/>
          <w:szCs w:val="27"/>
        </w:rPr>
        <w:t>. С учётом всех внесенных в течение года измене</w:t>
      </w:r>
      <w:r w:rsidR="00417ABB">
        <w:rPr>
          <w:sz w:val="27"/>
          <w:szCs w:val="27"/>
        </w:rPr>
        <w:t xml:space="preserve">ний и уточнений плановый объём </w:t>
      </w:r>
      <w:r>
        <w:rPr>
          <w:sz w:val="27"/>
          <w:szCs w:val="27"/>
        </w:rPr>
        <w:t>расходов на социальную политику утверждён в сумме 1 116 703,9 тыс.рублей. Исполнение по разделу в 2014 году составило 1 109 514,9 тыс.рублей или 99,36% к уточнённому плану.</w:t>
      </w:r>
    </w:p>
    <w:p w:rsidR="00940B38" w:rsidRDefault="00940B38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структуре расходов бюджета города расходы по разделу составили </w:t>
      </w:r>
      <w:r w:rsidR="00831F58">
        <w:rPr>
          <w:sz w:val="27"/>
          <w:szCs w:val="27"/>
        </w:rPr>
        <w:t>28,84%</w:t>
      </w:r>
      <w:r w:rsidR="00012462">
        <w:rPr>
          <w:sz w:val="27"/>
          <w:szCs w:val="27"/>
        </w:rPr>
        <w:t>. К уровню исполнения бюджета 2013 года расходы на социальную политику увеличились на 96 455,5 тыс.рублей или на 9,52%.</w:t>
      </w:r>
    </w:p>
    <w:p w:rsidR="00940B38" w:rsidRDefault="00012462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Наибольший объём средств по разделу направлен в 2014 году на подраздел 1003 «Социальное обслуживание населения» – 80,14%. Расходы подраздела исполнены на 99,26% к плану, объём неосвоенных средств составил 6 627,0 тыс.рублей.</w:t>
      </w:r>
      <w:r w:rsidR="00FF58C8">
        <w:rPr>
          <w:sz w:val="27"/>
          <w:szCs w:val="27"/>
        </w:rPr>
        <w:t xml:space="preserve"> Причин</w:t>
      </w:r>
      <w:r w:rsidR="00672096">
        <w:rPr>
          <w:sz w:val="27"/>
          <w:szCs w:val="27"/>
        </w:rPr>
        <w:t>ами</w:t>
      </w:r>
      <w:r w:rsidR="00FF58C8">
        <w:rPr>
          <w:sz w:val="27"/>
          <w:szCs w:val="27"/>
        </w:rPr>
        <w:t xml:space="preserve"> неисполнения плановых показателей послужило то, что пять молодых семей не реализовали в отчётном году своё право на получение социальной выплаты по выданным свидетельствам, срок действия </w:t>
      </w:r>
      <w:r w:rsidR="00FF58C8">
        <w:rPr>
          <w:sz w:val="27"/>
          <w:szCs w:val="27"/>
        </w:rPr>
        <w:lastRenderedPageBreak/>
        <w:t xml:space="preserve">которых истекает в июне и августе 2015 года (3 944,4 тыс.рублей), </w:t>
      </w:r>
      <w:r w:rsidR="00AD6A81">
        <w:rPr>
          <w:sz w:val="27"/>
          <w:szCs w:val="27"/>
        </w:rPr>
        <w:t xml:space="preserve">а </w:t>
      </w:r>
      <w:r w:rsidR="00672096">
        <w:rPr>
          <w:sz w:val="27"/>
          <w:szCs w:val="27"/>
        </w:rPr>
        <w:t>фактическая потребность граждан в субсидиях на оплату жилых помещений и коммунальных услуг оказалась ниже запланированной</w:t>
      </w:r>
      <w:r w:rsidR="00417ABB">
        <w:rPr>
          <w:sz w:val="27"/>
          <w:szCs w:val="27"/>
        </w:rPr>
        <w:t xml:space="preserve"> </w:t>
      </w:r>
      <w:r w:rsidR="00672096">
        <w:rPr>
          <w:sz w:val="27"/>
          <w:szCs w:val="27"/>
        </w:rPr>
        <w:t>(</w:t>
      </w:r>
      <w:r w:rsidR="00AD6A81">
        <w:rPr>
          <w:sz w:val="27"/>
          <w:szCs w:val="27"/>
        </w:rPr>
        <w:t>2 244,4 тыс.рублей</w:t>
      </w:r>
      <w:r w:rsidR="00672096">
        <w:rPr>
          <w:sz w:val="27"/>
          <w:szCs w:val="27"/>
        </w:rPr>
        <w:t>).</w:t>
      </w:r>
    </w:p>
    <w:p w:rsidR="00417ABB" w:rsidRDefault="00672096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Расходы </w:t>
      </w:r>
      <w:r w:rsidR="00924E0E" w:rsidRPr="00F179B8">
        <w:rPr>
          <w:sz w:val="27"/>
          <w:szCs w:val="27"/>
        </w:rPr>
        <w:t xml:space="preserve">по разделу </w:t>
      </w:r>
      <w:r w:rsidR="00924E0E" w:rsidRPr="00672096">
        <w:rPr>
          <w:b/>
          <w:sz w:val="27"/>
          <w:szCs w:val="27"/>
        </w:rPr>
        <w:t>1100 «Физическая культура и спорт»</w:t>
      </w:r>
      <w:r w:rsidR="00924E0E" w:rsidRPr="00F179B8">
        <w:rPr>
          <w:b/>
          <w:sz w:val="27"/>
          <w:szCs w:val="27"/>
        </w:rPr>
        <w:t xml:space="preserve"> </w:t>
      </w:r>
      <w:r w:rsidRPr="00672096">
        <w:rPr>
          <w:sz w:val="27"/>
          <w:szCs w:val="27"/>
        </w:rPr>
        <w:t>исполнены</w:t>
      </w:r>
      <w:r>
        <w:rPr>
          <w:sz w:val="27"/>
          <w:szCs w:val="27"/>
        </w:rPr>
        <w:t xml:space="preserve"> в объёме 38 216,0 </w:t>
      </w:r>
      <w:r w:rsidR="00924E0E" w:rsidRPr="00F179B8">
        <w:rPr>
          <w:sz w:val="27"/>
          <w:szCs w:val="27"/>
        </w:rPr>
        <w:t>тыс.рублей</w:t>
      </w:r>
      <w:r>
        <w:rPr>
          <w:sz w:val="27"/>
          <w:szCs w:val="27"/>
        </w:rPr>
        <w:t>, что составляет 99,97% к уточнённому плану (38 226,6 тыс.рублей).</w:t>
      </w:r>
      <w:r w:rsidR="00924E0E" w:rsidRPr="00F179B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 сравнению с 2013 годом объём расходов на </w:t>
      </w:r>
      <w:r w:rsidR="001A0F19">
        <w:rPr>
          <w:sz w:val="27"/>
          <w:szCs w:val="27"/>
        </w:rPr>
        <w:t xml:space="preserve">физическую культуру </w:t>
      </w:r>
      <w:r>
        <w:rPr>
          <w:sz w:val="27"/>
          <w:szCs w:val="27"/>
        </w:rPr>
        <w:t xml:space="preserve">увеличился на </w:t>
      </w:r>
      <w:r w:rsidR="001A0F19">
        <w:rPr>
          <w:sz w:val="27"/>
          <w:szCs w:val="27"/>
        </w:rPr>
        <w:t>5 479,0</w:t>
      </w:r>
      <w:r>
        <w:rPr>
          <w:sz w:val="27"/>
          <w:szCs w:val="27"/>
        </w:rPr>
        <w:t xml:space="preserve"> тыс.рублей или на </w:t>
      </w:r>
      <w:r w:rsidR="001A0F19">
        <w:rPr>
          <w:sz w:val="27"/>
          <w:szCs w:val="27"/>
        </w:rPr>
        <w:t>16,74</w:t>
      </w:r>
      <w:r w:rsidR="00417ABB">
        <w:rPr>
          <w:sz w:val="27"/>
          <w:szCs w:val="27"/>
        </w:rPr>
        <w:t>%, возрос и у</w:t>
      </w:r>
      <w:r w:rsidR="00417ABB" w:rsidRPr="00F179B8">
        <w:rPr>
          <w:sz w:val="27"/>
          <w:szCs w:val="27"/>
        </w:rPr>
        <w:t>дельный вес расходов</w:t>
      </w:r>
      <w:r w:rsidR="00417ABB">
        <w:rPr>
          <w:sz w:val="27"/>
          <w:szCs w:val="27"/>
        </w:rPr>
        <w:t xml:space="preserve"> раздела</w:t>
      </w:r>
      <w:r w:rsidR="00417ABB" w:rsidRPr="00F179B8">
        <w:rPr>
          <w:sz w:val="27"/>
          <w:szCs w:val="27"/>
        </w:rPr>
        <w:t xml:space="preserve"> в общ</w:t>
      </w:r>
      <w:r w:rsidR="00417ABB">
        <w:rPr>
          <w:sz w:val="27"/>
          <w:szCs w:val="27"/>
        </w:rPr>
        <w:t>ем объёме расходов</w:t>
      </w:r>
      <w:r w:rsidR="00417ABB" w:rsidRPr="00F179B8">
        <w:rPr>
          <w:sz w:val="27"/>
          <w:szCs w:val="27"/>
        </w:rPr>
        <w:t xml:space="preserve"> бюджета</w:t>
      </w:r>
      <w:r w:rsidR="00417ABB">
        <w:rPr>
          <w:sz w:val="27"/>
          <w:szCs w:val="27"/>
        </w:rPr>
        <w:t xml:space="preserve"> – с 0,91% до 0,99%.</w:t>
      </w:r>
    </w:p>
    <w:p w:rsidR="00924E0E" w:rsidRPr="00583020" w:rsidRDefault="00583020" w:rsidP="00C54A0B">
      <w:pPr>
        <w:jc w:val="center"/>
        <w:rPr>
          <w:b/>
          <w:sz w:val="27"/>
          <w:szCs w:val="27"/>
        </w:rPr>
      </w:pPr>
      <w:r w:rsidRPr="00583020">
        <w:rPr>
          <w:b/>
          <w:sz w:val="27"/>
          <w:szCs w:val="27"/>
        </w:rPr>
        <w:t>Программно-целевые расходы города Волгодонска</w:t>
      </w:r>
    </w:p>
    <w:p w:rsidR="007D0805" w:rsidRDefault="007D0805" w:rsidP="00C54A0B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7D0805">
        <w:rPr>
          <w:sz w:val="27"/>
          <w:szCs w:val="27"/>
        </w:rPr>
        <w:t xml:space="preserve">Бюджетом города в отчётном периоде предусмотрены расходы на исполнение 15 </w:t>
      </w:r>
      <w:r w:rsidR="00EF66AA">
        <w:rPr>
          <w:sz w:val="27"/>
          <w:szCs w:val="27"/>
        </w:rPr>
        <w:t>муниципальных</w:t>
      </w:r>
      <w:r w:rsidRPr="007D0805">
        <w:rPr>
          <w:sz w:val="27"/>
          <w:szCs w:val="27"/>
        </w:rPr>
        <w:t xml:space="preserve"> программ </w:t>
      </w:r>
      <w:r w:rsidR="00E11E54">
        <w:rPr>
          <w:sz w:val="27"/>
          <w:szCs w:val="27"/>
        </w:rPr>
        <w:t xml:space="preserve">города Волгодонска </w:t>
      </w:r>
      <w:r w:rsidR="00EF66AA">
        <w:rPr>
          <w:sz w:val="27"/>
          <w:szCs w:val="27"/>
        </w:rPr>
        <w:t xml:space="preserve">(далее МП) </w:t>
      </w:r>
      <w:r w:rsidRPr="007D0805">
        <w:rPr>
          <w:sz w:val="27"/>
          <w:szCs w:val="27"/>
        </w:rPr>
        <w:t>на сумму</w:t>
      </w:r>
      <w:r w:rsidR="00417ABB">
        <w:rPr>
          <w:sz w:val="27"/>
          <w:szCs w:val="27"/>
        </w:rPr>
        <w:t xml:space="preserve"> </w:t>
      </w:r>
      <w:r w:rsidRPr="007D0805">
        <w:rPr>
          <w:sz w:val="27"/>
          <w:szCs w:val="27"/>
        </w:rPr>
        <w:t>4 378 310,0 тыс.рублей, в том числе</w:t>
      </w:r>
      <w:r>
        <w:rPr>
          <w:sz w:val="27"/>
          <w:szCs w:val="27"/>
        </w:rPr>
        <w:t xml:space="preserve"> за счет: средств местного бюджета – 2 116 415,6 тыс.рублей, средств областного и федерального бюджетов – 1 840 528,5 тыс.рублей и 421 365,9 тыс.рублей соответственно.</w:t>
      </w:r>
      <w:r w:rsidRPr="007D0805">
        <w:rPr>
          <w:rFonts w:eastAsia="Calibri"/>
          <w:sz w:val="27"/>
          <w:szCs w:val="27"/>
          <w:lang w:eastAsia="en-US"/>
        </w:rPr>
        <w:t xml:space="preserve"> </w:t>
      </w:r>
    </w:p>
    <w:p w:rsidR="00CB5304" w:rsidRDefault="007D0805" w:rsidP="00C54A0B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Расходы исполнены в сумме 3 676 486,4 тыс.</w:t>
      </w:r>
      <w:r w:rsidR="00CB5304">
        <w:rPr>
          <w:rFonts w:eastAsia="Calibri"/>
          <w:sz w:val="27"/>
          <w:szCs w:val="27"/>
          <w:lang w:eastAsia="en-US"/>
        </w:rPr>
        <w:t>рублей или 83,97% плана, из них за счёт средств: местного бюджета – 1 564 784,8 тыс.рублей (73,93%</w:t>
      </w:r>
      <w:r w:rsidR="00417ABB">
        <w:rPr>
          <w:rFonts w:eastAsia="Calibri"/>
          <w:sz w:val="27"/>
          <w:szCs w:val="27"/>
          <w:lang w:eastAsia="en-US"/>
        </w:rPr>
        <w:t xml:space="preserve"> к плану</w:t>
      </w:r>
      <w:r w:rsidR="00CB5304">
        <w:rPr>
          <w:rFonts w:eastAsia="Calibri"/>
          <w:sz w:val="27"/>
          <w:szCs w:val="27"/>
          <w:lang w:eastAsia="en-US"/>
        </w:rPr>
        <w:t xml:space="preserve">), областного бюджета – 1 772 355,5 тыс.рублей (96,29%), федерального бюджета – 339 346,1 тыс.рублей (80,53%). </w:t>
      </w:r>
    </w:p>
    <w:p w:rsidR="00EF66AA" w:rsidRDefault="00EF66AA" w:rsidP="00C54A0B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Исполнение всех 15 действующих в отчётном периоде </w:t>
      </w:r>
      <w:r w:rsidR="00E11E54">
        <w:rPr>
          <w:rFonts w:eastAsia="Calibri"/>
          <w:sz w:val="27"/>
          <w:szCs w:val="27"/>
          <w:lang w:eastAsia="en-US"/>
        </w:rPr>
        <w:t>МП</w:t>
      </w:r>
      <w:r>
        <w:rPr>
          <w:rFonts w:eastAsia="Calibri"/>
          <w:sz w:val="27"/>
          <w:szCs w:val="27"/>
          <w:lang w:eastAsia="en-US"/>
        </w:rPr>
        <w:t xml:space="preserve"> сложилось на уровне ниже 100,00%. На достаточно высоком уровне (от 99,97% до 90,93%) исполнены 10 программ, невысокий процент (от 88,58% до 25,09%) имеют 5 программ:</w:t>
      </w:r>
    </w:p>
    <w:p w:rsidR="00CB5304" w:rsidRDefault="00E11E54" w:rsidP="00C54A0B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МП «Развитие здравоохранения города Волгодонска» (88,58%);</w:t>
      </w:r>
    </w:p>
    <w:p w:rsidR="00E11E54" w:rsidRDefault="00E11E54" w:rsidP="00C54A0B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МП «Обеспечение жильём отдельных категорий граждан в городе Волгодонске» (85,62%);</w:t>
      </w:r>
    </w:p>
    <w:p w:rsidR="00E11E54" w:rsidRDefault="00E11E54" w:rsidP="00C54A0B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МП «Защита населения и территории города Волгодонска от чрезвычайных ситуаций» (76,11%);</w:t>
      </w:r>
    </w:p>
    <w:p w:rsidR="00E11E54" w:rsidRDefault="00E11E54" w:rsidP="00C54A0B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МП «Обеспечение качественными жилищно-коммунальными услугами населения города Волгодонска» (68,81%);</w:t>
      </w:r>
    </w:p>
    <w:p w:rsidR="00E11E54" w:rsidRDefault="00E11E54" w:rsidP="00C54A0B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МП «Благоустроенный город» (25,09%).</w:t>
      </w:r>
    </w:p>
    <w:p w:rsidR="00EF66AA" w:rsidRDefault="00E11E54" w:rsidP="00C54A0B">
      <w:pPr>
        <w:widowControl w:val="0"/>
        <w:tabs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В общем объёме бюджетных расходов </w:t>
      </w:r>
      <w:r w:rsidR="000E7AC3">
        <w:rPr>
          <w:rFonts w:eastAsia="Calibri"/>
          <w:sz w:val="27"/>
          <w:szCs w:val="27"/>
          <w:lang w:eastAsia="en-US"/>
        </w:rPr>
        <w:t xml:space="preserve">в 2014 году </w:t>
      </w:r>
      <w:r>
        <w:rPr>
          <w:rFonts w:eastAsia="Calibri"/>
          <w:sz w:val="27"/>
          <w:szCs w:val="27"/>
          <w:lang w:eastAsia="en-US"/>
        </w:rPr>
        <w:t>на долю расходов, осуществляемых программно-целевым методом, приходится 95,54%.</w:t>
      </w:r>
    </w:p>
    <w:p w:rsidR="008E3185" w:rsidRPr="008E3185" w:rsidRDefault="000E7AC3" w:rsidP="00C54A0B">
      <w:pPr>
        <w:widowControl w:val="0"/>
        <w:tabs>
          <w:tab w:val="left" w:pos="9000"/>
        </w:tabs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4. </w:t>
      </w:r>
      <w:r w:rsidR="008E3185" w:rsidRPr="008E3185">
        <w:rPr>
          <w:rFonts w:eastAsia="Calibri"/>
          <w:b/>
          <w:sz w:val="27"/>
          <w:szCs w:val="27"/>
          <w:lang w:eastAsia="en-US"/>
        </w:rPr>
        <w:t>Анализ состояния дебиторской и кредиторской задолженности</w:t>
      </w:r>
    </w:p>
    <w:p w:rsidR="008E3185" w:rsidRPr="008E3185" w:rsidRDefault="008E3185" w:rsidP="00C54A0B">
      <w:pPr>
        <w:widowControl w:val="0"/>
        <w:ind w:firstLine="709"/>
        <w:jc w:val="both"/>
        <w:rPr>
          <w:sz w:val="27"/>
          <w:szCs w:val="27"/>
        </w:rPr>
      </w:pPr>
      <w:r w:rsidRPr="008E3185">
        <w:rPr>
          <w:sz w:val="27"/>
          <w:szCs w:val="27"/>
        </w:rPr>
        <w:t xml:space="preserve">Согласно </w:t>
      </w:r>
      <w:r>
        <w:rPr>
          <w:sz w:val="27"/>
          <w:szCs w:val="27"/>
        </w:rPr>
        <w:t>Ба</w:t>
      </w:r>
      <w:r w:rsidRPr="008E3185">
        <w:rPr>
          <w:sz w:val="27"/>
          <w:szCs w:val="27"/>
        </w:rPr>
        <w:t xml:space="preserve">ланса </w:t>
      </w:r>
      <w:r>
        <w:rPr>
          <w:sz w:val="27"/>
          <w:szCs w:val="27"/>
        </w:rPr>
        <w:t xml:space="preserve">исполнения консолидированного бюджета субъекта </w:t>
      </w:r>
      <w:r w:rsidR="008B760B">
        <w:rPr>
          <w:sz w:val="27"/>
          <w:szCs w:val="27"/>
        </w:rPr>
        <w:t>РФ</w:t>
      </w:r>
      <w:r>
        <w:rPr>
          <w:sz w:val="27"/>
          <w:szCs w:val="27"/>
        </w:rPr>
        <w:t xml:space="preserve"> и бюджета территориального государственного внебюджетного фонда</w:t>
      </w:r>
      <w:r w:rsidR="008B760B">
        <w:rPr>
          <w:sz w:val="27"/>
          <w:szCs w:val="27"/>
        </w:rPr>
        <w:t xml:space="preserve"> (</w:t>
      </w:r>
      <w:r w:rsidRPr="008E3185">
        <w:rPr>
          <w:sz w:val="27"/>
          <w:szCs w:val="27"/>
        </w:rPr>
        <w:t>ф.0503320</w:t>
      </w:r>
      <w:r w:rsidR="008B760B">
        <w:rPr>
          <w:sz w:val="27"/>
          <w:szCs w:val="27"/>
        </w:rPr>
        <w:t>)</w:t>
      </w:r>
      <w:r w:rsidRPr="008E3185">
        <w:rPr>
          <w:sz w:val="27"/>
          <w:szCs w:val="27"/>
        </w:rPr>
        <w:t xml:space="preserve"> по состоянию на 01.01.2015г. дебиторская задолженность (с уч</w:t>
      </w:r>
      <w:r w:rsidR="000E7AC3">
        <w:rPr>
          <w:sz w:val="27"/>
          <w:szCs w:val="27"/>
        </w:rPr>
        <w:t>ё</w:t>
      </w:r>
      <w:r w:rsidRPr="008E3185">
        <w:rPr>
          <w:sz w:val="27"/>
          <w:szCs w:val="27"/>
        </w:rPr>
        <w:t xml:space="preserve">том задолженности казенных учреждений) составила </w:t>
      </w:r>
      <w:r w:rsidR="008B760B">
        <w:rPr>
          <w:sz w:val="27"/>
          <w:szCs w:val="27"/>
        </w:rPr>
        <w:t>304 075,2</w:t>
      </w:r>
      <w:r w:rsidRPr="008E3185">
        <w:rPr>
          <w:sz w:val="27"/>
          <w:szCs w:val="27"/>
        </w:rPr>
        <w:t xml:space="preserve"> тыс.руб</w:t>
      </w:r>
      <w:r w:rsidR="008B760B">
        <w:rPr>
          <w:sz w:val="27"/>
          <w:szCs w:val="27"/>
        </w:rPr>
        <w:t>лей</w:t>
      </w:r>
      <w:r w:rsidRPr="008E3185">
        <w:rPr>
          <w:sz w:val="27"/>
          <w:szCs w:val="27"/>
        </w:rPr>
        <w:t xml:space="preserve"> со знаком </w:t>
      </w:r>
      <w:r w:rsidR="008B760B">
        <w:rPr>
          <w:sz w:val="27"/>
          <w:szCs w:val="27"/>
        </w:rPr>
        <w:t>«</w:t>
      </w:r>
      <w:r w:rsidRPr="008E3185">
        <w:rPr>
          <w:sz w:val="27"/>
          <w:szCs w:val="27"/>
        </w:rPr>
        <w:t>минус</w:t>
      </w:r>
      <w:r w:rsidR="008B760B">
        <w:rPr>
          <w:sz w:val="27"/>
          <w:szCs w:val="27"/>
        </w:rPr>
        <w:t>»</w:t>
      </w:r>
      <w:r w:rsidRPr="008E3185">
        <w:rPr>
          <w:sz w:val="27"/>
          <w:szCs w:val="27"/>
        </w:rPr>
        <w:t xml:space="preserve">, кредиторская задолженность – </w:t>
      </w:r>
      <w:r w:rsidR="008B760B">
        <w:rPr>
          <w:sz w:val="27"/>
          <w:szCs w:val="27"/>
        </w:rPr>
        <w:t>14 939,9</w:t>
      </w:r>
      <w:r w:rsidRPr="008E3185">
        <w:rPr>
          <w:sz w:val="27"/>
          <w:szCs w:val="27"/>
        </w:rPr>
        <w:t xml:space="preserve"> тыс.руб</w:t>
      </w:r>
      <w:r w:rsidR="008B760B">
        <w:rPr>
          <w:sz w:val="27"/>
          <w:szCs w:val="27"/>
        </w:rPr>
        <w:t>лей.</w:t>
      </w:r>
    </w:p>
    <w:p w:rsidR="008E3185" w:rsidRPr="008E3185" w:rsidRDefault="008E3185" w:rsidP="00C54A0B">
      <w:pPr>
        <w:widowControl w:val="0"/>
        <w:ind w:firstLine="709"/>
        <w:jc w:val="both"/>
        <w:rPr>
          <w:sz w:val="27"/>
          <w:szCs w:val="27"/>
        </w:rPr>
      </w:pPr>
      <w:r w:rsidRPr="008E3185">
        <w:rPr>
          <w:sz w:val="27"/>
          <w:szCs w:val="27"/>
        </w:rPr>
        <w:t xml:space="preserve">Дебиторская задолженность (без учета задолженности по счету 020500000 «Расчеты по доходам») по состоянию на 01.01.2015г. сложилась в сумме </w:t>
      </w:r>
      <w:r w:rsidR="008B760B">
        <w:rPr>
          <w:sz w:val="27"/>
          <w:szCs w:val="27"/>
        </w:rPr>
        <w:t>3 000,8</w:t>
      </w:r>
      <w:r w:rsidRPr="008E3185">
        <w:rPr>
          <w:sz w:val="27"/>
          <w:szCs w:val="27"/>
        </w:rPr>
        <w:t xml:space="preserve"> тыс.руб</w:t>
      </w:r>
      <w:r w:rsidR="008B760B">
        <w:rPr>
          <w:sz w:val="27"/>
          <w:szCs w:val="27"/>
        </w:rPr>
        <w:t>лей</w:t>
      </w:r>
      <w:r w:rsidRPr="008E3185">
        <w:rPr>
          <w:sz w:val="27"/>
          <w:szCs w:val="27"/>
        </w:rPr>
        <w:t xml:space="preserve"> и в сравнении с началом 2014г. уменьшилась в 10 раз или на </w:t>
      </w:r>
      <w:r w:rsidR="008B760B">
        <w:rPr>
          <w:sz w:val="27"/>
          <w:szCs w:val="27"/>
        </w:rPr>
        <w:t>2</w:t>
      </w:r>
      <w:r w:rsidR="000E7AC3">
        <w:rPr>
          <w:sz w:val="27"/>
          <w:szCs w:val="27"/>
        </w:rPr>
        <w:t>7</w:t>
      </w:r>
      <w:r w:rsidR="008B760B">
        <w:rPr>
          <w:sz w:val="27"/>
          <w:szCs w:val="27"/>
        </w:rPr>
        <w:t> 573,7</w:t>
      </w:r>
      <w:r w:rsidRPr="008E3185">
        <w:rPr>
          <w:sz w:val="27"/>
          <w:szCs w:val="27"/>
        </w:rPr>
        <w:t xml:space="preserve"> тыс.руб</w:t>
      </w:r>
      <w:r w:rsidR="008B760B">
        <w:rPr>
          <w:sz w:val="27"/>
          <w:szCs w:val="27"/>
        </w:rPr>
        <w:t>лей</w:t>
      </w:r>
      <w:r w:rsidRPr="008E3185">
        <w:rPr>
          <w:sz w:val="27"/>
          <w:szCs w:val="27"/>
        </w:rPr>
        <w:t xml:space="preserve"> (на 01.01.2014г. – 3</w:t>
      </w:r>
      <w:r w:rsidR="008B760B">
        <w:rPr>
          <w:sz w:val="27"/>
          <w:szCs w:val="27"/>
        </w:rPr>
        <w:t xml:space="preserve">0 574,5 </w:t>
      </w:r>
      <w:r w:rsidRPr="008E3185">
        <w:rPr>
          <w:sz w:val="27"/>
          <w:szCs w:val="27"/>
        </w:rPr>
        <w:t>тыс.руб</w:t>
      </w:r>
      <w:r w:rsidR="008B760B">
        <w:rPr>
          <w:sz w:val="27"/>
          <w:szCs w:val="27"/>
        </w:rPr>
        <w:t>лей</w:t>
      </w:r>
      <w:r w:rsidRPr="008E3185">
        <w:rPr>
          <w:sz w:val="27"/>
          <w:szCs w:val="27"/>
        </w:rPr>
        <w:t>)</w:t>
      </w:r>
      <w:r w:rsidR="00AA281D">
        <w:rPr>
          <w:sz w:val="27"/>
          <w:szCs w:val="27"/>
        </w:rPr>
        <w:t>,</w:t>
      </w:r>
      <w:r w:rsidRPr="008E3185">
        <w:rPr>
          <w:sz w:val="27"/>
          <w:szCs w:val="27"/>
        </w:rPr>
        <w:t xml:space="preserve"> в основном</w:t>
      </w:r>
      <w:r w:rsidR="00AA281D">
        <w:rPr>
          <w:sz w:val="27"/>
          <w:szCs w:val="27"/>
        </w:rPr>
        <w:t>,</w:t>
      </w:r>
      <w:r w:rsidRPr="008E3185">
        <w:rPr>
          <w:sz w:val="27"/>
          <w:szCs w:val="27"/>
        </w:rPr>
        <w:t xml:space="preserve"> за сч</w:t>
      </w:r>
      <w:r w:rsidR="008B760B">
        <w:rPr>
          <w:sz w:val="27"/>
          <w:szCs w:val="27"/>
        </w:rPr>
        <w:t>ё</w:t>
      </w:r>
      <w:r w:rsidRPr="008E3185">
        <w:rPr>
          <w:sz w:val="27"/>
          <w:szCs w:val="27"/>
        </w:rPr>
        <w:t>т уменьшения задолженности по выданным авансам, которые составили основную долю дебиторской задолженности как на начало</w:t>
      </w:r>
      <w:r w:rsidR="008B760B">
        <w:rPr>
          <w:sz w:val="27"/>
          <w:szCs w:val="27"/>
        </w:rPr>
        <w:t>,</w:t>
      </w:r>
      <w:r w:rsidRPr="008E3185">
        <w:rPr>
          <w:sz w:val="27"/>
          <w:szCs w:val="27"/>
        </w:rPr>
        <w:t xml:space="preserve"> так и на конец 2014г. (99,9%).</w:t>
      </w:r>
    </w:p>
    <w:p w:rsidR="008E3185" w:rsidRPr="008E3185" w:rsidRDefault="008E3185" w:rsidP="00C54A0B">
      <w:pPr>
        <w:widowControl w:val="0"/>
        <w:ind w:firstLine="709"/>
        <w:jc w:val="both"/>
        <w:rPr>
          <w:sz w:val="27"/>
          <w:szCs w:val="27"/>
        </w:rPr>
      </w:pPr>
      <w:r w:rsidRPr="008E3185">
        <w:rPr>
          <w:sz w:val="27"/>
          <w:szCs w:val="27"/>
        </w:rPr>
        <w:t xml:space="preserve">Основная сумма дебиторской задолженности по выданным авансам </w:t>
      </w:r>
      <w:r w:rsidR="008B760B" w:rsidRPr="008E3185">
        <w:rPr>
          <w:sz w:val="27"/>
          <w:szCs w:val="27"/>
        </w:rPr>
        <w:lastRenderedPageBreak/>
        <w:t xml:space="preserve">сложилась </w:t>
      </w:r>
      <w:r w:rsidR="008B760B">
        <w:rPr>
          <w:sz w:val="27"/>
          <w:szCs w:val="27"/>
        </w:rPr>
        <w:t xml:space="preserve">по состоянию </w:t>
      </w:r>
      <w:r w:rsidRPr="008E3185">
        <w:rPr>
          <w:sz w:val="27"/>
          <w:szCs w:val="27"/>
        </w:rPr>
        <w:t>на 01.01.2015г. в результате упреждающих выплат по предоставлению мер социальной поддержки льготным категориям граждан (</w:t>
      </w:r>
      <w:r w:rsidR="008B760B">
        <w:rPr>
          <w:sz w:val="27"/>
          <w:szCs w:val="27"/>
        </w:rPr>
        <w:t>1 984,4</w:t>
      </w:r>
      <w:r w:rsidRPr="008E3185">
        <w:rPr>
          <w:sz w:val="27"/>
          <w:szCs w:val="27"/>
        </w:rPr>
        <w:t xml:space="preserve"> тыс.руб</w:t>
      </w:r>
      <w:r w:rsidR="008B760B">
        <w:rPr>
          <w:sz w:val="27"/>
          <w:szCs w:val="27"/>
        </w:rPr>
        <w:t>лей</w:t>
      </w:r>
      <w:r w:rsidRPr="008E3185">
        <w:rPr>
          <w:sz w:val="27"/>
          <w:szCs w:val="27"/>
        </w:rPr>
        <w:t>) и перечисления субсидии на возмещение части платы граждан за коммунальные услуги (887,9 тыс.руб</w:t>
      </w:r>
      <w:r w:rsidR="008B760B">
        <w:rPr>
          <w:sz w:val="27"/>
          <w:szCs w:val="27"/>
        </w:rPr>
        <w:t>лей</w:t>
      </w:r>
      <w:r w:rsidRPr="008E3185">
        <w:rPr>
          <w:sz w:val="27"/>
          <w:szCs w:val="27"/>
        </w:rPr>
        <w:t>).</w:t>
      </w:r>
    </w:p>
    <w:p w:rsidR="008E3185" w:rsidRPr="008E3185" w:rsidRDefault="008E3185" w:rsidP="00C54A0B">
      <w:pPr>
        <w:widowControl w:val="0"/>
        <w:ind w:firstLine="709"/>
        <w:jc w:val="both"/>
        <w:rPr>
          <w:sz w:val="27"/>
          <w:szCs w:val="27"/>
        </w:rPr>
      </w:pPr>
      <w:r w:rsidRPr="008E3185">
        <w:rPr>
          <w:sz w:val="27"/>
          <w:szCs w:val="27"/>
        </w:rPr>
        <w:t>Незначительную долю (4,3% или 128,1 тыс.руб.) в сумме дебиторской задолженности по выданным авансам составили авансы по услугам связи, коммунальным услугам и расходы по под</w:t>
      </w:r>
      <w:r w:rsidR="000E7AC3">
        <w:rPr>
          <w:sz w:val="27"/>
          <w:szCs w:val="27"/>
        </w:rPr>
        <w:t xml:space="preserve">писке периодических изданий на первое </w:t>
      </w:r>
      <w:r w:rsidRPr="008E3185">
        <w:rPr>
          <w:sz w:val="27"/>
          <w:szCs w:val="27"/>
        </w:rPr>
        <w:t>полугодие 2015г.</w:t>
      </w:r>
    </w:p>
    <w:p w:rsidR="008E3185" w:rsidRPr="008E3185" w:rsidRDefault="008E3185" w:rsidP="00C54A0B">
      <w:pPr>
        <w:widowControl w:val="0"/>
        <w:ind w:firstLine="709"/>
        <w:jc w:val="both"/>
        <w:rPr>
          <w:sz w:val="27"/>
          <w:szCs w:val="27"/>
        </w:rPr>
      </w:pPr>
      <w:r w:rsidRPr="008E3185">
        <w:rPr>
          <w:sz w:val="27"/>
          <w:szCs w:val="27"/>
        </w:rPr>
        <w:t xml:space="preserve">Кредиторская задолженность </w:t>
      </w:r>
      <w:r w:rsidR="008B760B">
        <w:rPr>
          <w:sz w:val="27"/>
          <w:szCs w:val="27"/>
        </w:rPr>
        <w:t xml:space="preserve">в течение </w:t>
      </w:r>
      <w:r w:rsidRPr="008E3185">
        <w:rPr>
          <w:sz w:val="27"/>
          <w:szCs w:val="27"/>
        </w:rPr>
        <w:t>2014 год</w:t>
      </w:r>
      <w:r w:rsidR="008B760B">
        <w:rPr>
          <w:sz w:val="27"/>
          <w:szCs w:val="27"/>
        </w:rPr>
        <w:t>а</w:t>
      </w:r>
      <w:r w:rsidRPr="008E3185">
        <w:rPr>
          <w:sz w:val="27"/>
          <w:szCs w:val="27"/>
        </w:rPr>
        <w:t xml:space="preserve"> уменьшилась на </w:t>
      </w:r>
      <w:r w:rsidR="008B760B">
        <w:rPr>
          <w:sz w:val="27"/>
          <w:szCs w:val="27"/>
        </w:rPr>
        <w:t>3 656,9</w:t>
      </w:r>
      <w:r w:rsidRPr="008E3185">
        <w:rPr>
          <w:sz w:val="27"/>
          <w:szCs w:val="27"/>
        </w:rPr>
        <w:t xml:space="preserve"> тыс.руб</w:t>
      </w:r>
      <w:r w:rsidR="008B760B">
        <w:rPr>
          <w:sz w:val="27"/>
          <w:szCs w:val="27"/>
        </w:rPr>
        <w:t>лей</w:t>
      </w:r>
      <w:r w:rsidRPr="008E3185">
        <w:rPr>
          <w:sz w:val="27"/>
          <w:szCs w:val="27"/>
        </w:rPr>
        <w:t xml:space="preserve"> и составила </w:t>
      </w:r>
      <w:r w:rsidR="008B760B">
        <w:rPr>
          <w:sz w:val="27"/>
          <w:szCs w:val="27"/>
        </w:rPr>
        <w:t>14 939,9</w:t>
      </w:r>
      <w:r w:rsidRPr="008E3185">
        <w:rPr>
          <w:sz w:val="27"/>
          <w:szCs w:val="27"/>
        </w:rPr>
        <w:t xml:space="preserve"> тыс.руб</w:t>
      </w:r>
      <w:r w:rsidR="008B760B">
        <w:rPr>
          <w:sz w:val="27"/>
          <w:szCs w:val="27"/>
        </w:rPr>
        <w:t>лей</w:t>
      </w:r>
      <w:r w:rsidRPr="008E3185">
        <w:rPr>
          <w:sz w:val="27"/>
          <w:szCs w:val="27"/>
        </w:rPr>
        <w:t>, из них</w:t>
      </w:r>
      <w:r w:rsidR="000E7AC3">
        <w:rPr>
          <w:sz w:val="27"/>
          <w:szCs w:val="27"/>
        </w:rPr>
        <w:t>:</w:t>
      </w:r>
      <w:r w:rsidRPr="008E3185">
        <w:rPr>
          <w:sz w:val="27"/>
          <w:szCs w:val="27"/>
        </w:rPr>
        <w:t xml:space="preserve"> задолженность по принятым обязательствам – </w:t>
      </w:r>
      <w:r w:rsidR="008B760B">
        <w:rPr>
          <w:sz w:val="27"/>
          <w:szCs w:val="27"/>
        </w:rPr>
        <w:t>14 990,4</w:t>
      </w:r>
      <w:r w:rsidRPr="008E3185">
        <w:rPr>
          <w:sz w:val="27"/>
          <w:szCs w:val="27"/>
        </w:rPr>
        <w:t xml:space="preserve"> тыс.руб</w:t>
      </w:r>
      <w:r w:rsidR="008B760B">
        <w:rPr>
          <w:sz w:val="27"/>
          <w:szCs w:val="27"/>
        </w:rPr>
        <w:t>лей</w:t>
      </w:r>
      <w:r w:rsidRPr="008E3185">
        <w:rPr>
          <w:sz w:val="27"/>
          <w:szCs w:val="27"/>
        </w:rPr>
        <w:t>, по платежам в бюджет – 50,5 тыс.руб</w:t>
      </w:r>
      <w:r w:rsidR="008B760B">
        <w:rPr>
          <w:sz w:val="27"/>
          <w:szCs w:val="27"/>
        </w:rPr>
        <w:t xml:space="preserve">лей </w:t>
      </w:r>
      <w:r w:rsidRPr="008E3185">
        <w:rPr>
          <w:sz w:val="27"/>
          <w:szCs w:val="27"/>
        </w:rPr>
        <w:t xml:space="preserve">со знаком </w:t>
      </w:r>
      <w:r w:rsidR="008B760B">
        <w:rPr>
          <w:sz w:val="27"/>
          <w:szCs w:val="27"/>
        </w:rPr>
        <w:t>«</w:t>
      </w:r>
      <w:r w:rsidRPr="008E3185">
        <w:rPr>
          <w:sz w:val="27"/>
          <w:szCs w:val="27"/>
        </w:rPr>
        <w:t>минус</w:t>
      </w:r>
      <w:r w:rsidR="008B760B">
        <w:rPr>
          <w:sz w:val="27"/>
          <w:szCs w:val="27"/>
        </w:rPr>
        <w:t>»</w:t>
      </w:r>
      <w:r w:rsidRPr="008E3185">
        <w:rPr>
          <w:sz w:val="27"/>
          <w:szCs w:val="27"/>
        </w:rPr>
        <w:t>.</w:t>
      </w:r>
    </w:p>
    <w:p w:rsidR="008E3185" w:rsidRPr="008E3185" w:rsidRDefault="008E3185" w:rsidP="00C54A0B">
      <w:pPr>
        <w:widowControl w:val="0"/>
        <w:ind w:firstLine="709"/>
        <w:jc w:val="both"/>
        <w:rPr>
          <w:sz w:val="27"/>
          <w:szCs w:val="27"/>
        </w:rPr>
      </w:pPr>
      <w:r w:rsidRPr="008E3185">
        <w:rPr>
          <w:sz w:val="27"/>
          <w:szCs w:val="27"/>
        </w:rPr>
        <w:t xml:space="preserve">Образование задолженности по принятым обязательствам на 01.01.2015г. в сумме </w:t>
      </w:r>
      <w:r w:rsidR="000E7AC3">
        <w:rPr>
          <w:sz w:val="27"/>
          <w:szCs w:val="27"/>
        </w:rPr>
        <w:t xml:space="preserve">14 183,2 </w:t>
      </w:r>
      <w:r w:rsidRPr="008E3185">
        <w:rPr>
          <w:sz w:val="27"/>
          <w:szCs w:val="27"/>
        </w:rPr>
        <w:t>тыс.руб</w:t>
      </w:r>
      <w:r w:rsidR="002C1530">
        <w:rPr>
          <w:sz w:val="27"/>
          <w:szCs w:val="27"/>
        </w:rPr>
        <w:t>лей</w:t>
      </w:r>
      <w:r w:rsidRPr="008E3185">
        <w:rPr>
          <w:sz w:val="27"/>
          <w:szCs w:val="27"/>
        </w:rPr>
        <w:t xml:space="preserve"> обусловлено поступлением </w:t>
      </w:r>
      <w:r w:rsidR="002C1530">
        <w:rPr>
          <w:sz w:val="27"/>
          <w:szCs w:val="27"/>
        </w:rPr>
        <w:t xml:space="preserve">не в полном объёме средств из областного бюджета. </w:t>
      </w:r>
      <w:r w:rsidRPr="008E3185">
        <w:rPr>
          <w:sz w:val="27"/>
          <w:szCs w:val="27"/>
        </w:rPr>
        <w:t xml:space="preserve">В составе кредиторской задолженности на конец 2014 года также числилась </w:t>
      </w:r>
      <w:r w:rsidR="002C1530">
        <w:rPr>
          <w:sz w:val="27"/>
          <w:szCs w:val="27"/>
        </w:rPr>
        <w:t xml:space="preserve">задолженность за услуги связи, </w:t>
      </w:r>
      <w:r w:rsidRPr="008E3185">
        <w:rPr>
          <w:sz w:val="27"/>
          <w:szCs w:val="27"/>
        </w:rPr>
        <w:t>коммунальные услуги, поставленные товарно-материальные ценности.</w:t>
      </w:r>
    </w:p>
    <w:p w:rsidR="008E3185" w:rsidRPr="008E3185" w:rsidRDefault="008E3185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3185">
        <w:rPr>
          <w:sz w:val="27"/>
          <w:szCs w:val="27"/>
        </w:rPr>
        <w:t>В состав задолженности  по расч</w:t>
      </w:r>
      <w:r w:rsidR="000E7AC3">
        <w:rPr>
          <w:sz w:val="27"/>
          <w:szCs w:val="27"/>
        </w:rPr>
        <w:t>ё</w:t>
      </w:r>
      <w:r w:rsidRPr="008E3185">
        <w:rPr>
          <w:sz w:val="27"/>
          <w:szCs w:val="27"/>
        </w:rPr>
        <w:t>там п</w:t>
      </w:r>
      <w:r w:rsidR="000E7AC3">
        <w:rPr>
          <w:sz w:val="27"/>
          <w:szCs w:val="27"/>
        </w:rPr>
        <w:t>о платежам в бюджет по состоянию</w:t>
      </w:r>
      <w:r w:rsidRPr="008E3185">
        <w:rPr>
          <w:sz w:val="27"/>
          <w:szCs w:val="27"/>
        </w:rPr>
        <w:t xml:space="preserve"> на 01.01.2015г. входила задолженность Фонда социального страхования РФ.</w:t>
      </w:r>
    </w:p>
    <w:p w:rsidR="008E3185" w:rsidRPr="008E3185" w:rsidRDefault="008E3185" w:rsidP="00C54A0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3185">
        <w:rPr>
          <w:sz w:val="27"/>
          <w:szCs w:val="27"/>
        </w:rPr>
        <w:t xml:space="preserve">Нереальная к взысканию, просроченная дебиторская и кредиторская задолженность </w:t>
      </w:r>
      <w:r w:rsidR="002C1530">
        <w:rPr>
          <w:sz w:val="27"/>
          <w:szCs w:val="27"/>
        </w:rPr>
        <w:t xml:space="preserve">по состоянию </w:t>
      </w:r>
      <w:r w:rsidRPr="008E3185">
        <w:rPr>
          <w:sz w:val="27"/>
          <w:szCs w:val="27"/>
        </w:rPr>
        <w:t>на 01.01.2015г. не числилась.</w:t>
      </w:r>
    </w:p>
    <w:p w:rsidR="00924E0E" w:rsidRPr="00F179B8" w:rsidRDefault="000E7AC3" w:rsidP="00C54A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</w:t>
      </w:r>
      <w:r w:rsidR="00924E0E" w:rsidRPr="000E7AC3">
        <w:rPr>
          <w:b/>
          <w:sz w:val="27"/>
          <w:szCs w:val="27"/>
        </w:rPr>
        <w:t>. Дефицит (профицит) бюджета, состояние муниципального долга</w:t>
      </w:r>
      <w:r w:rsidR="00877B82" w:rsidRPr="000E7AC3">
        <w:rPr>
          <w:b/>
          <w:sz w:val="27"/>
          <w:szCs w:val="27"/>
        </w:rPr>
        <w:t>, расходы на его обслуживание</w:t>
      </w:r>
    </w:p>
    <w:p w:rsidR="00877B82" w:rsidRDefault="00924E0E" w:rsidP="00C54A0B">
      <w:pPr>
        <w:ind w:firstLine="709"/>
        <w:jc w:val="both"/>
        <w:rPr>
          <w:sz w:val="27"/>
          <w:szCs w:val="27"/>
        </w:rPr>
      </w:pPr>
      <w:r w:rsidRPr="00F179B8">
        <w:rPr>
          <w:sz w:val="27"/>
          <w:szCs w:val="27"/>
        </w:rPr>
        <w:t>Первоначальным решением бюджет города на 201</w:t>
      </w:r>
      <w:r w:rsidR="00877B82">
        <w:rPr>
          <w:sz w:val="27"/>
          <w:szCs w:val="27"/>
        </w:rPr>
        <w:t>4</w:t>
      </w:r>
      <w:r w:rsidRPr="00F179B8">
        <w:rPr>
          <w:sz w:val="27"/>
          <w:szCs w:val="27"/>
        </w:rPr>
        <w:t xml:space="preserve"> год </w:t>
      </w:r>
      <w:r w:rsidR="00877B82">
        <w:rPr>
          <w:sz w:val="27"/>
          <w:szCs w:val="27"/>
        </w:rPr>
        <w:t xml:space="preserve">был </w:t>
      </w:r>
      <w:r w:rsidRPr="00F179B8">
        <w:rPr>
          <w:sz w:val="27"/>
          <w:szCs w:val="27"/>
        </w:rPr>
        <w:t xml:space="preserve">утверждён с дефицитом в размере </w:t>
      </w:r>
      <w:r w:rsidR="00877B82">
        <w:rPr>
          <w:sz w:val="27"/>
          <w:szCs w:val="27"/>
        </w:rPr>
        <w:t>3</w:t>
      </w:r>
      <w:r w:rsidRPr="00F179B8">
        <w:rPr>
          <w:sz w:val="27"/>
          <w:szCs w:val="27"/>
        </w:rPr>
        <w:t xml:space="preserve">0 000,0 тыс.рублей. В результате внесённых в течение года изменений и уточнения параметров бюджета </w:t>
      </w:r>
      <w:r>
        <w:rPr>
          <w:sz w:val="27"/>
          <w:szCs w:val="27"/>
        </w:rPr>
        <w:t>прогнозируемый</w:t>
      </w:r>
      <w:r w:rsidRPr="00F179B8">
        <w:rPr>
          <w:sz w:val="27"/>
          <w:szCs w:val="27"/>
        </w:rPr>
        <w:t xml:space="preserve"> размер дефицита составил </w:t>
      </w:r>
      <w:r w:rsidR="00877B82">
        <w:rPr>
          <w:sz w:val="27"/>
          <w:szCs w:val="27"/>
        </w:rPr>
        <w:t>302 436,2</w:t>
      </w:r>
      <w:r w:rsidRPr="00F179B8">
        <w:rPr>
          <w:sz w:val="27"/>
          <w:szCs w:val="27"/>
        </w:rPr>
        <w:t xml:space="preserve"> тыс.рублей.</w:t>
      </w:r>
      <w:r w:rsidR="00496B92">
        <w:rPr>
          <w:sz w:val="27"/>
          <w:szCs w:val="27"/>
        </w:rPr>
        <w:t xml:space="preserve"> </w:t>
      </w:r>
      <w:r w:rsidRPr="00F179B8">
        <w:rPr>
          <w:sz w:val="27"/>
          <w:szCs w:val="27"/>
        </w:rPr>
        <w:t xml:space="preserve">Фактически </w:t>
      </w:r>
      <w:r w:rsidR="00496B92">
        <w:rPr>
          <w:sz w:val="27"/>
          <w:szCs w:val="27"/>
        </w:rPr>
        <w:t xml:space="preserve">местный </w:t>
      </w:r>
      <w:r w:rsidRPr="00F179B8">
        <w:rPr>
          <w:sz w:val="27"/>
          <w:szCs w:val="27"/>
        </w:rPr>
        <w:t xml:space="preserve">бюджет исполнен с профицитом в </w:t>
      </w:r>
      <w:r w:rsidR="00877B82">
        <w:rPr>
          <w:sz w:val="27"/>
          <w:szCs w:val="27"/>
        </w:rPr>
        <w:t>размере</w:t>
      </w:r>
      <w:r w:rsidRPr="00F179B8">
        <w:rPr>
          <w:sz w:val="27"/>
          <w:szCs w:val="27"/>
        </w:rPr>
        <w:t xml:space="preserve"> </w:t>
      </w:r>
      <w:r w:rsidR="00877B82">
        <w:rPr>
          <w:sz w:val="27"/>
          <w:szCs w:val="27"/>
        </w:rPr>
        <w:t>359 701,8 тыс.рублей</w:t>
      </w:r>
      <w:r w:rsidRPr="00F179B8">
        <w:rPr>
          <w:sz w:val="27"/>
          <w:szCs w:val="27"/>
        </w:rPr>
        <w:t>,</w:t>
      </w:r>
      <w:r w:rsidR="00496B92">
        <w:rPr>
          <w:sz w:val="27"/>
          <w:szCs w:val="27"/>
        </w:rPr>
        <w:t xml:space="preserve"> который обусловлен, в основном, освоением средств бюджета города не в полном объёме (в том числе </w:t>
      </w:r>
      <w:r w:rsidR="00716326">
        <w:rPr>
          <w:sz w:val="27"/>
          <w:szCs w:val="27"/>
        </w:rPr>
        <w:t xml:space="preserve">средств, предусмотренных </w:t>
      </w:r>
      <w:r w:rsidR="00496B92">
        <w:rPr>
          <w:sz w:val="27"/>
          <w:szCs w:val="27"/>
        </w:rPr>
        <w:t>на проектно-изыскательские работы на объекте «Полигон захоронения, утилизации и переработки твёрдых промышленных, нерадиоактивных и бытовых отходов»).</w:t>
      </w:r>
    </w:p>
    <w:p w:rsidR="00A706F0" w:rsidRDefault="00496B92" w:rsidP="00C54A0B">
      <w:pPr>
        <w:tabs>
          <w:tab w:val="num" w:pos="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состоянию на 01.01.2014г. муниципальный долг города составлял 20 000,0 тыс.рублей. В январе 2014 года кредит, полученный </w:t>
      </w:r>
      <w:r w:rsidR="00A706F0" w:rsidRPr="00F179B8">
        <w:rPr>
          <w:sz w:val="27"/>
          <w:szCs w:val="27"/>
        </w:rPr>
        <w:t>Администрацией города Волгодонска в банке ВТБ (ОАО) для покрытия д</w:t>
      </w:r>
      <w:r w:rsidR="00716326">
        <w:rPr>
          <w:sz w:val="27"/>
          <w:szCs w:val="27"/>
        </w:rPr>
        <w:t xml:space="preserve">ефицита бюджета, был погашен. </w:t>
      </w:r>
      <w:r>
        <w:rPr>
          <w:sz w:val="27"/>
          <w:szCs w:val="27"/>
        </w:rPr>
        <w:t xml:space="preserve">Расходы по обслуживанию муниципального долга составили в </w:t>
      </w:r>
      <w:r w:rsidR="00716326">
        <w:rPr>
          <w:sz w:val="27"/>
          <w:szCs w:val="27"/>
        </w:rPr>
        <w:t>отчётном периоде</w:t>
      </w:r>
      <w:r>
        <w:rPr>
          <w:sz w:val="27"/>
          <w:szCs w:val="27"/>
        </w:rPr>
        <w:t xml:space="preserve"> 47,7 тыс.рублей. </w:t>
      </w:r>
    </w:p>
    <w:p w:rsidR="00877B82" w:rsidRDefault="00496B92" w:rsidP="00C54A0B">
      <w:pPr>
        <w:tabs>
          <w:tab w:val="num" w:pos="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 состоянию на 01.01.2015г. муниципальный долг отсутствует.</w:t>
      </w:r>
    </w:p>
    <w:p w:rsidR="00924E0E" w:rsidRPr="00F179B8" w:rsidRDefault="00716326" w:rsidP="00C54A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6</w:t>
      </w:r>
      <w:r w:rsidR="00924E0E" w:rsidRPr="00A706F0">
        <w:rPr>
          <w:b/>
          <w:sz w:val="27"/>
          <w:szCs w:val="27"/>
        </w:rPr>
        <w:t>.</w:t>
      </w:r>
      <w:r w:rsidR="00924E0E" w:rsidRPr="00F179B8">
        <w:rPr>
          <w:b/>
          <w:sz w:val="27"/>
          <w:szCs w:val="27"/>
        </w:rPr>
        <w:t xml:space="preserve"> Результаты внешней проверки годовой</w:t>
      </w:r>
      <w:r w:rsidR="00343029">
        <w:rPr>
          <w:b/>
          <w:sz w:val="27"/>
          <w:szCs w:val="27"/>
        </w:rPr>
        <w:t xml:space="preserve"> бюджетной</w:t>
      </w:r>
      <w:r w:rsidR="00924E0E" w:rsidRPr="00F179B8">
        <w:rPr>
          <w:b/>
          <w:sz w:val="27"/>
          <w:szCs w:val="27"/>
        </w:rPr>
        <w:t xml:space="preserve"> отчетности главных администраторов доходов местного бюджета, главных распорядителей средств местного</w:t>
      </w:r>
      <w:r w:rsidR="00924E0E">
        <w:rPr>
          <w:b/>
          <w:sz w:val="27"/>
          <w:szCs w:val="27"/>
        </w:rPr>
        <w:t xml:space="preserve"> бюджета</w:t>
      </w:r>
      <w:r w:rsidR="00924E0E" w:rsidRPr="00F179B8">
        <w:rPr>
          <w:b/>
          <w:sz w:val="27"/>
          <w:szCs w:val="27"/>
        </w:rPr>
        <w:t xml:space="preserve"> </w:t>
      </w:r>
    </w:p>
    <w:p w:rsidR="00A706F0" w:rsidRDefault="00924E0E" w:rsidP="00C54A0B">
      <w:pPr>
        <w:ind w:firstLine="709"/>
        <w:jc w:val="both"/>
        <w:rPr>
          <w:sz w:val="27"/>
          <w:szCs w:val="27"/>
        </w:rPr>
      </w:pPr>
      <w:r w:rsidRPr="00F179B8">
        <w:rPr>
          <w:sz w:val="27"/>
          <w:szCs w:val="27"/>
        </w:rPr>
        <w:t xml:space="preserve">В соответствии со статьей 264.4 БК РФ и статьей 51 Положения о бюджетном процессе Палатой проведены плановые внешние проверки </w:t>
      </w:r>
      <w:r>
        <w:rPr>
          <w:sz w:val="27"/>
          <w:szCs w:val="27"/>
        </w:rPr>
        <w:t xml:space="preserve">годовой </w:t>
      </w:r>
      <w:r w:rsidRPr="00F179B8">
        <w:rPr>
          <w:sz w:val="27"/>
          <w:szCs w:val="27"/>
        </w:rPr>
        <w:t>бюджетной отчетности за 201</w:t>
      </w:r>
      <w:r w:rsidR="00A706F0">
        <w:rPr>
          <w:sz w:val="27"/>
          <w:szCs w:val="27"/>
        </w:rPr>
        <w:t>4</w:t>
      </w:r>
      <w:r w:rsidRPr="00F179B8">
        <w:rPr>
          <w:sz w:val="27"/>
          <w:szCs w:val="27"/>
        </w:rPr>
        <w:t xml:space="preserve"> год 1</w:t>
      </w:r>
      <w:r w:rsidR="00A706F0">
        <w:rPr>
          <w:sz w:val="27"/>
          <w:szCs w:val="27"/>
        </w:rPr>
        <w:t>1</w:t>
      </w:r>
      <w:r w:rsidRPr="00F179B8">
        <w:rPr>
          <w:sz w:val="27"/>
          <w:szCs w:val="27"/>
        </w:rPr>
        <w:t xml:space="preserve"> главных администраторов доходов местного бюджета</w:t>
      </w:r>
      <w:r w:rsidRPr="00F179B8">
        <w:rPr>
          <w:color w:val="000000"/>
          <w:sz w:val="27"/>
          <w:szCs w:val="27"/>
        </w:rPr>
        <w:t xml:space="preserve">, главных распорядителей средств местного бюджета. </w:t>
      </w:r>
      <w:r w:rsidRPr="00F179B8">
        <w:rPr>
          <w:sz w:val="27"/>
          <w:szCs w:val="27"/>
        </w:rPr>
        <w:t xml:space="preserve">Кроме того, </w:t>
      </w:r>
      <w:r w:rsidR="00716326" w:rsidRPr="00F179B8">
        <w:rPr>
          <w:sz w:val="27"/>
          <w:szCs w:val="27"/>
        </w:rPr>
        <w:t>выборочно</w:t>
      </w:r>
      <w:r w:rsidR="00716326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в </w:t>
      </w:r>
      <w:r w:rsidR="00FE7AD4">
        <w:rPr>
          <w:sz w:val="27"/>
          <w:szCs w:val="27"/>
        </w:rPr>
        <w:t>27</w:t>
      </w:r>
      <w:r w:rsidRPr="00716326">
        <w:rPr>
          <w:sz w:val="27"/>
          <w:szCs w:val="27"/>
        </w:rPr>
        <w:t xml:space="preserve"> </w:t>
      </w:r>
      <w:r w:rsidRPr="00F179B8">
        <w:rPr>
          <w:sz w:val="27"/>
          <w:szCs w:val="27"/>
        </w:rPr>
        <w:t>муниципальных учреждени</w:t>
      </w:r>
      <w:r>
        <w:rPr>
          <w:sz w:val="27"/>
          <w:szCs w:val="27"/>
        </w:rPr>
        <w:t>ях</w:t>
      </w:r>
      <w:r w:rsidR="00716326">
        <w:rPr>
          <w:sz w:val="27"/>
          <w:szCs w:val="27"/>
        </w:rPr>
        <w:t>)</w:t>
      </w:r>
      <w:r w:rsidRPr="00F179B8">
        <w:rPr>
          <w:sz w:val="27"/>
          <w:szCs w:val="27"/>
        </w:rPr>
        <w:t xml:space="preserve"> проведено обследование </w:t>
      </w:r>
      <w:r w:rsidRPr="00F179B8">
        <w:rPr>
          <w:sz w:val="27"/>
          <w:szCs w:val="27"/>
        </w:rPr>
        <w:lastRenderedPageBreak/>
        <w:t>состояния дебиторской и кредиторской задолженности, сложившейся по состоянию на 01.01.201</w:t>
      </w:r>
      <w:r w:rsidR="00A706F0">
        <w:rPr>
          <w:sz w:val="27"/>
          <w:szCs w:val="27"/>
        </w:rPr>
        <w:t>5</w:t>
      </w:r>
      <w:r w:rsidRPr="00F179B8">
        <w:rPr>
          <w:sz w:val="27"/>
          <w:szCs w:val="27"/>
        </w:rPr>
        <w:t>г. по бюджетным обязательствам</w:t>
      </w:r>
      <w:r w:rsidR="00A706F0">
        <w:rPr>
          <w:sz w:val="27"/>
          <w:szCs w:val="27"/>
        </w:rPr>
        <w:t>.</w:t>
      </w:r>
    </w:p>
    <w:p w:rsidR="00343029" w:rsidRDefault="00924E0E" w:rsidP="00C54A0B">
      <w:pPr>
        <w:ind w:firstLine="709"/>
        <w:jc w:val="both"/>
        <w:rPr>
          <w:sz w:val="27"/>
          <w:szCs w:val="27"/>
        </w:rPr>
      </w:pPr>
      <w:r w:rsidRPr="00FE7AD4">
        <w:rPr>
          <w:sz w:val="27"/>
          <w:szCs w:val="27"/>
        </w:rPr>
        <w:t xml:space="preserve">Установленные </w:t>
      </w:r>
      <w:r w:rsidR="00343029">
        <w:rPr>
          <w:sz w:val="27"/>
          <w:szCs w:val="27"/>
        </w:rPr>
        <w:t xml:space="preserve">отдельные недостатки и нарушения были связаны с несоответствием приложений и форм бюджетной отчётности проверенных объектов нормативным документам, с искажением отчётных данных и не повлияли на достоверность отчёта </w:t>
      </w:r>
      <w:r w:rsidR="00343029" w:rsidRPr="00FE7AD4">
        <w:rPr>
          <w:sz w:val="27"/>
          <w:szCs w:val="27"/>
        </w:rPr>
        <w:t>об исполнении местного бюджета за 2014г.</w:t>
      </w:r>
    </w:p>
    <w:p w:rsidR="00E13162" w:rsidRDefault="00E13162" w:rsidP="00C54A0B">
      <w:pPr>
        <w:jc w:val="center"/>
        <w:rPr>
          <w:b/>
          <w:sz w:val="27"/>
          <w:szCs w:val="27"/>
        </w:rPr>
      </w:pPr>
      <w:r w:rsidRPr="00F179B8">
        <w:rPr>
          <w:b/>
          <w:sz w:val="27"/>
          <w:szCs w:val="27"/>
        </w:rPr>
        <w:t>Выводы:</w:t>
      </w:r>
    </w:p>
    <w:p w:rsidR="00E13162" w:rsidRPr="003D2C00" w:rsidRDefault="00E13162" w:rsidP="00C54A0B">
      <w:pPr>
        <w:tabs>
          <w:tab w:val="left" w:pos="1080"/>
        </w:tabs>
        <w:ind w:firstLine="709"/>
        <w:jc w:val="both"/>
        <w:rPr>
          <w:color w:val="000000"/>
          <w:sz w:val="27"/>
          <w:szCs w:val="27"/>
        </w:rPr>
      </w:pPr>
      <w:r w:rsidRPr="007D0923">
        <w:rPr>
          <w:sz w:val="27"/>
          <w:szCs w:val="27"/>
        </w:rPr>
        <w:t>1.</w:t>
      </w:r>
      <w:r w:rsidRPr="007D0923">
        <w:rPr>
          <w:sz w:val="27"/>
          <w:szCs w:val="27"/>
        </w:rPr>
        <w:tab/>
      </w:r>
      <w:r w:rsidRPr="007D0923">
        <w:rPr>
          <w:color w:val="000000"/>
          <w:sz w:val="27"/>
          <w:szCs w:val="27"/>
        </w:rPr>
        <w:t xml:space="preserve">Отчёт об исполнении </w:t>
      </w:r>
      <w:r w:rsidRPr="007D0923">
        <w:rPr>
          <w:sz w:val="27"/>
          <w:szCs w:val="27"/>
        </w:rPr>
        <w:t xml:space="preserve">бюджета города Волгодонска </w:t>
      </w:r>
      <w:r w:rsidRPr="007D0923">
        <w:rPr>
          <w:color w:val="000000"/>
          <w:sz w:val="27"/>
          <w:szCs w:val="27"/>
        </w:rPr>
        <w:t>за 201</w:t>
      </w:r>
      <w:r>
        <w:rPr>
          <w:color w:val="000000"/>
          <w:sz w:val="27"/>
          <w:szCs w:val="27"/>
        </w:rPr>
        <w:t>4</w:t>
      </w:r>
      <w:r w:rsidRPr="007D0923">
        <w:rPr>
          <w:color w:val="000000"/>
          <w:sz w:val="27"/>
          <w:szCs w:val="27"/>
        </w:rPr>
        <w:t xml:space="preserve"> год представлен Администрацией города Волгодонска в Контрольно-счётную палату в срок, установленный статьёй 264.4 БК РФ и статьёй 51 Положения о </w:t>
      </w:r>
      <w:r w:rsidRPr="003D2C00">
        <w:rPr>
          <w:color w:val="000000"/>
          <w:sz w:val="27"/>
          <w:szCs w:val="27"/>
        </w:rPr>
        <w:t xml:space="preserve">бюджетном процессе. </w:t>
      </w:r>
    </w:p>
    <w:p w:rsidR="00E13162" w:rsidRPr="003D2C00" w:rsidRDefault="00E13162" w:rsidP="00C54A0B">
      <w:pPr>
        <w:tabs>
          <w:tab w:val="left" w:pos="72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>2.</w:t>
      </w:r>
      <w:r w:rsidRPr="003D2C00">
        <w:rPr>
          <w:sz w:val="27"/>
          <w:szCs w:val="27"/>
        </w:rPr>
        <w:tab/>
        <w:t>В ходе исполнения бюджета города доходы поступили в объёме 4 207 758,3 тыс.рублей (98,78% от планового уточненного показателя), расходы произведены на сумму 3 848 056,5 тыс.рублей (84,35% к уточнённому плану), бюджет исполнен с профицитом в размере 359 701,8 тыс.рублей.</w:t>
      </w:r>
    </w:p>
    <w:p w:rsidR="00E13162" w:rsidRPr="003D2C00" w:rsidRDefault="00E13162" w:rsidP="00C54A0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>По сравнению с 2013 годом доходы местного бюджета возросли на 375 804,8 тыс.рублей или на 9,81% в основном за счёт увеличения объёма безвозмездных поступлений на 251 489,9 тыс.рублей и налоговых поступлений на 121 729,3 тыс.рублей (рост неналоговых доходов незначителен - 2 585,6 тыс.рублей). В 2014 году продолжился рост удельного веса безвозмездных поступлений в доходной части местного бюджета (с 46,08% в 2011 году до 55,09% в 2014 году).</w:t>
      </w:r>
    </w:p>
    <w:p w:rsidR="00E13162" w:rsidRPr="003D2C00" w:rsidRDefault="00E13162" w:rsidP="00C54A0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>3.</w:t>
      </w:r>
      <w:r w:rsidRPr="003D2C00">
        <w:rPr>
          <w:sz w:val="27"/>
          <w:szCs w:val="27"/>
        </w:rPr>
        <w:tab/>
        <w:t>По отношению к 2013 году объём поступивших собственных доходов увеличился на 124 314,9 тыс.рублей или на 7,04%, прогнозные показатели перевыполнены на 6,33% (сверх плана в бюджет поступило 112 486,9 тыс.рублей).</w:t>
      </w:r>
    </w:p>
    <w:p w:rsidR="00E13162" w:rsidRPr="003D2C00" w:rsidRDefault="00E13162" w:rsidP="00C54A0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>4.</w:t>
      </w:r>
      <w:r w:rsidRPr="003D2C00">
        <w:rPr>
          <w:sz w:val="27"/>
          <w:szCs w:val="27"/>
        </w:rPr>
        <w:tab/>
        <w:t>В структуре собственных доходов бюджета города 79,86% приходится на долю налоговых доходов. Перевыполнение плана по налоговым доходам в сумме 103 036,7 тыс.рублей достигнуто, в основном, за счёт налога на прибыль организаций (163,30% к плану), налога на доходы физических лиц (106,08%) и земельного налога (105,49%) и налога, взимаемого с применением упрощённой системы налогообложения (113,64). Наибольшее неисполнение плановых назначений сложилось по единому налогу на вменённый доход для отдельных видов деятельности (в бюджет недополучено 11 280,8 тыс.рублей).</w:t>
      </w:r>
    </w:p>
    <w:p w:rsidR="00E13162" w:rsidRPr="003D2C00" w:rsidRDefault="00E13162" w:rsidP="00C54A0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>Общая сумма недоимки по налоговым платежам в консолидированный бюджет области выросла за 2014 год на 21 810,2 тыс.рублей и по состоянию на 01.01.2015г. составила 153 346,9 тыс.рублей.</w:t>
      </w:r>
    </w:p>
    <w:p w:rsidR="00E13162" w:rsidRPr="003D2C00" w:rsidRDefault="00E13162" w:rsidP="00C54A0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>5.</w:t>
      </w:r>
      <w:r w:rsidRPr="003D2C00">
        <w:rPr>
          <w:sz w:val="27"/>
          <w:szCs w:val="27"/>
        </w:rPr>
        <w:tab/>
        <w:t>Прогнозные показатели по неналоговым доходам перевыполнены на 9 450,2 тыс.рублей (или на 2,55%) за счёт получения сверхплановых доходов от продажи материальных и нематериальных активов (дополнительно к плану поступило 61 682,3 тыс.рублей). В то же время бюджетом недополучены доходы от использования муниципального имущества (46 794,3 тыс.рублей) и платежи при пользовании природными ресурсами (9 949,4 тыс.рублей).</w:t>
      </w:r>
    </w:p>
    <w:p w:rsidR="00E13162" w:rsidRPr="003D2C00" w:rsidRDefault="00E13162" w:rsidP="00C54A0B">
      <w:pPr>
        <w:widowControl w:val="0"/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>6.</w:t>
      </w:r>
      <w:r w:rsidRPr="003D2C00">
        <w:rPr>
          <w:sz w:val="27"/>
          <w:szCs w:val="27"/>
        </w:rPr>
        <w:tab/>
        <w:t xml:space="preserve">Плановые назначения по расходам не исполнены на общую сумму 713 907, тыс.рублей по всем разделам, за исключением раздела 1300 «Обслуживание государственного и муниципального долга». Наибольший объём неосвоенных средств приходится, как и в 2013 году, на разделы «Охрана </w:t>
      </w:r>
      <w:r w:rsidRPr="003D2C00">
        <w:rPr>
          <w:sz w:val="27"/>
          <w:szCs w:val="27"/>
        </w:rPr>
        <w:lastRenderedPageBreak/>
        <w:t>окружающей среды» (489 946,8 тыс.рублей) и «Жилищно-коммунальное хозяйство» (136 476,1 тыс.рублей).</w:t>
      </w:r>
    </w:p>
    <w:p w:rsidR="00E13162" w:rsidRPr="003D2C00" w:rsidRDefault="00E13162" w:rsidP="00C54A0B">
      <w:pPr>
        <w:widowControl w:val="0"/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>Наибольший удельный вес в структуре расходов бюджета города в 2014 году занимают расходы на социально-культурную сферу – 76,15% и жилищно-коммунальное хозяйство – 11,75%.</w:t>
      </w:r>
    </w:p>
    <w:p w:rsidR="00E13162" w:rsidRPr="003D2C00" w:rsidRDefault="00E13162" w:rsidP="00C54A0B">
      <w:pPr>
        <w:tabs>
          <w:tab w:val="left" w:pos="108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D2C00">
        <w:rPr>
          <w:sz w:val="27"/>
          <w:szCs w:val="27"/>
        </w:rPr>
        <w:t>7.</w:t>
      </w:r>
      <w:r w:rsidRPr="003D2C00">
        <w:rPr>
          <w:sz w:val="27"/>
          <w:szCs w:val="27"/>
        </w:rPr>
        <w:tab/>
        <w:t xml:space="preserve">В 2014 году за счёт средств бюджетов различных уровней осуществлялось финансирование 15 муниципальных программ. На реализацию программных мероприятий направлено </w:t>
      </w:r>
      <w:r w:rsidRPr="003D2C00">
        <w:rPr>
          <w:rFonts w:eastAsia="Calibri"/>
          <w:sz w:val="27"/>
          <w:szCs w:val="27"/>
          <w:lang w:eastAsia="en-US"/>
        </w:rPr>
        <w:t>3 676 486,4 тыс.рублей, из них средств местного бюджета – 1 564 784,8 тыс.рублей, областного бюджета – 1 772 355,5 тыс.рублей, федерального бюджета – 339 346,1 тыс.рублей.</w:t>
      </w:r>
    </w:p>
    <w:p w:rsidR="00E13162" w:rsidRPr="003D2C00" w:rsidRDefault="00E13162" w:rsidP="00C54A0B">
      <w:pPr>
        <w:widowControl w:val="0"/>
        <w:tabs>
          <w:tab w:val="left" w:pos="1080"/>
          <w:tab w:val="left" w:pos="900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D2C00">
        <w:rPr>
          <w:rFonts w:eastAsia="Calibri"/>
          <w:sz w:val="27"/>
          <w:szCs w:val="27"/>
          <w:lang w:eastAsia="en-US"/>
        </w:rPr>
        <w:t>На достаточно высоком уровне (от 99,97% до 90,93%) исполнены 10 программ, невысокий процент (от 88,58% до 25,09%) имеют 5 программ. В общем объёме бюджетных расходов в 2014 году на долю расходов, осуществляемых программно-целевым методом, приходится 95,54%.</w:t>
      </w:r>
    </w:p>
    <w:p w:rsidR="00E13162" w:rsidRPr="003D2C00" w:rsidRDefault="00E13162" w:rsidP="00C54A0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>8.</w:t>
      </w:r>
      <w:r w:rsidRPr="003D2C00">
        <w:rPr>
          <w:sz w:val="27"/>
          <w:szCs w:val="27"/>
        </w:rPr>
        <w:tab/>
        <w:t xml:space="preserve">Дебиторская задолженность в течение 2014 года за счёт уменьшения задолженности по выданным авансам уменьшилась на 27 573,7 тыс.рублей и по состоянию на 01.01.2015г. сложилась в сумме 3 000,8 тыс.рублей. </w:t>
      </w:r>
    </w:p>
    <w:p w:rsidR="00E13162" w:rsidRDefault="00E13162" w:rsidP="00C54A0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3D2C00">
        <w:rPr>
          <w:sz w:val="27"/>
          <w:szCs w:val="27"/>
        </w:rPr>
        <w:t xml:space="preserve">Кредиторская задолженность на конец 2014 года составила 14 939,9 тыс.рублей. Образование задолженности обусловлено поступлением </w:t>
      </w:r>
      <w:r>
        <w:rPr>
          <w:sz w:val="27"/>
          <w:szCs w:val="27"/>
        </w:rPr>
        <w:t>средств из областного бюджета</w:t>
      </w:r>
      <w:r w:rsidR="00AA281D" w:rsidRPr="00AA281D">
        <w:rPr>
          <w:sz w:val="27"/>
          <w:szCs w:val="27"/>
        </w:rPr>
        <w:t xml:space="preserve"> </w:t>
      </w:r>
      <w:r w:rsidR="00AA281D" w:rsidRPr="003D2C00">
        <w:rPr>
          <w:sz w:val="27"/>
          <w:szCs w:val="27"/>
        </w:rPr>
        <w:t>не в полном объёме</w:t>
      </w:r>
      <w:r w:rsidR="00AA281D">
        <w:rPr>
          <w:sz w:val="27"/>
          <w:szCs w:val="27"/>
        </w:rPr>
        <w:t>.</w:t>
      </w:r>
    </w:p>
    <w:p w:rsidR="00E13162" w:rsidRDefault="00E13162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Оценка достоверности отчёта об исполнении бюджета города Волгодонска за 2014 год проведена с учётом результатов внешней проверки бюджетной отчётности 11 </w:t>
      </w:r>
      <w:r w:rsidRPr="00F179B8">
        <w:rPr>
          <w:sz w:val="27"/>
          <w:szCs w:val="27"/>
        </w:rPr>
        <w:t>администраторов доходов местного бюджета</w:t>
      </w:r>
      <w:r w:rsidRPr="00F179B8">
        <w:rPr>
          <w:color w:val="000000"/>
          <w:sz w:val="27"/>
          <w:szCs w:val="27"/>
        </w:rPr>
        <w:t>, главных распоряд</w:t>
      </w:r>
      <w:r>
        <w:rPr>
          <w:color w:val="000000"/>
          <w:sz w:val="27"/>
          <w:szCs w:val="27"/>
        </w:rPr>
        <w:t xml:space="preserve">ителей средств местного бюджета и </w:t>
      </w:r>
      <w:r w:rsidRPr="00F179B8">
        <w:rPr>
          <w:sz w:val="27"/>
          <w:szCs w:val="27"/>
        </w:rPr>
        <w:t>обследовани</w:t>
      </w:r>
      <w:r>
        <w:rPr>
          <w:sz w:val="27"/>
          <w:szCs w:val="27"/>
        </w:rPr>
        <w:t>я</w:t>
      </w:r>
      <w:r w:rsidRPr="00F179B8">
        <w:rPr>
          <w:sz w:val="27"/>
          <w:szCs w:val="27"/>
        </w:rPr>
        <w:t xml:space="preserve"> состояния дебиторской и кредиторской задолженности, сложившейся по состоянию на 01.01.201</w:t>
      </w:r>
      <w:r>
        <w:rPr>
          <w:sz w:val="27"/>
          <w:szCs w:val="27"/>
        </w:rPr>
        <w:t>5</w:t>
      </w:r>
      <w:r w:rsidRPr="00F179B8">
        <w:rPr>
          <w:sz w:val="27"/>
          <w:szCs w:val="27"/>
        </w:rPr>
        <w:t>г.</w:t>
      </w:r>
      <w:r>
        <w:rPr>
          <w:sz w:val="27"/>
          <w:szCs w:val="27"/>
        </w:rPr>
        <w:t>, в 27</w:t>
      </w:r>
      <w:r w:rsidRPr="00716326">
        <w:rPr>
          <w:sz w:val="27"/>
          <w:szCs w:val="27"/>
        </w:rPr>
        <w:t xml:space="preserve"> </w:t>
      </w:r>
      <w:r w:rsidRPr="00F179B8">
        <w:rPr>
          <w:sz w:val="27"/>
          <w:szCs w:val="27"/>
        </w:rPr>
        <w:t>муниципальных учреждени</w:t>
      </w:r>
      <w:r>
        <w:rPr>
          <w:sz w:val="27"/>
          <w:szCs w:val="27"/>
        </w:rPr>
        <w:t>ях.</w:t>
      </w:r>
      <w:r w:rsidRPr="00F179B8">
        <w:rPr>
          <w:sz w:val="27"/>
          <w:szCs w:val="27"/>
        </w:rPr>
        <w:t xml:space="preserve"> </w:t>
      </w:r>
    </w:p>
    <w:p w:rsidR="00E13162" w:rsidRDefault="00E13162" w:rsidP="00C54A0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Достоверность отчёта об исполнении бюджета города Волгодонска за 2014 год подтверждена, в связи с чем Контрольно-счётная палата города Волгодонска рекомендует Волгодонской городской Думе утвердить отчёт</w:t>
      </w:r>
      <w:r w:rsidRPr="003D2C00">
        <w:rPr>
          <w:sz w:val="27"/>
          <w:szCs w:val="27"/>
        </w:rPr>
        <w:t xml:space="preserve"> </w:t>
      </w:r>
      <w:r>
        <w:rPr>
          <w:sz w:val="27"/>
          <w:szCs w:val="27"/>
        </w:rPr>
        <w:t>об исполнении бюджета города Волгодонска за 2014 год.</w:t>
      </w:r>
    </w:p>
    <w:p w:rsidR="00E13162" w:rsidRPr="007D0923" w:rsidRDefault="00E13162" w:rsidP="00C54A0B">
      <w:pPr>
        <w:jc w:val="both"/>
        <w:rPr>
          <w:sz w:val="27"/>
          <w:szCs w:val="27"/>
        </w:rPr>
      </w:pPr>
      <w:r w:rsidRPr="007D0923">
        <w:rPr>
          <w:sz w:val="27"/>
          <w:szCs w:val="27"/>
        </w:rPr>
        <w:t>Приложение: на 1 л. в 1 экз.</w:t>
      </w:r>
    </w:p>
    <w:p w:rsidR="00E13162" w:rsidRPr="003D2C00" w:rsidRDefault="00E13162" w:rsidP="00C54A0B">
      <w:pPr>
        <w:rPr>
          <w:sz w:val="27"/>
          <w:szCs w:val="27"/>
        </w:rPr>
      </w:pPr>
      <w:bookmarkStart w:id="0" w:name="_GoBack"/>
      <w:bookmarkEnd w:id="0"/>
    </w:p>
    <w:p w:rsidR="00E13162" w:rsidRPr="003D2C00" w:rsidRDefault="00E13162" w:rsidP="00C54A0B">
      <w:pPr>
        <w:rPr>
          <w:sz w:val="27"/>
          <w:szCs w:val="27"/>
        </w:rPr>
      </w:pPr>
      <w:r w:rsidRPr="003D2C00">
        <w:rPr>
          <w:sz w:val="27"/>
          <w:szCs w:val="27"/>
        </w:rPr>
        <w:t>Председатель Контрольно-счётной</w:t>
      </w:r>
    </w:p>
    <w:p w:rsidR="006B46EE" w:rsidRDefault="00E13162" w:rsidP="00C54A0B">
      <w:r w:rsidRPr="003D2C00">
        <w:rPr>
          <w:sz w:val="27"/>
          <w:szCs w:val="27"/>
        </w:rPr>
        <w:t>палаты города Волгодонска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3D2C00">
        <w:rPr>
          <w:sz w:val="27"/>
          <w:szCs w:val="27"/>
        </w:rPr>
        <w:tab/>
      </w:r>
      <w:r w:rsidRPr="003D2C00">
        <w:rPr>
          <w:sz w:val="27"/>
          <w:szCs w:val="27"/>
        </w:rPr>
        <w:tab/>
      </w:r>
      <w:r w:rsidRPr="003D2C00">
        <w:rPr>
          <w:sz w:val="27"/>
          <w:szCs w:val="27"/>
        </w:rPr>
        <w:tab/>
        <w:t xml:space="preserve">  </w:t>
      </w:r>
      <w:r>
        <w:rPr>
          <w:sz w:val="27"/>
          <w:szCs w:val="27"/>
        </w:rPr>
        <w:t xml:space="preserve">       </w:t>
      </w:r>
      <w:r w:rsidRPr="003D2C00">
        <w:rPr>
          <w:sz w:val="27"/>
          <w:szCs w:val="27"/>
        </w:rPr>
        <w:t>Т.В.Федотова</w:t>
      </w:r>
    </w:p>
    <w:p w:rsidR="00C54A0B" w:rsidRDefault="00C54A0B"/>
    <w:sectPr w:rsidR="00C54A0B" w:rsidSect="005D55A3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851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3E" w:rsidRDefault="0080273E" w:rsidP="00E314CF">
      <w:r>
        <w:separator/>
      </w:r>
    </w:p>
  </w:endnote>
  <w:endnote w:type="continuationSeparator" w:id="0">
    <w:p w:rsidR="0080273E" w:rsidRDefault="0080273E" w:rsidP="00E3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A8" w:rsidRDefault="007618A8" w:rsidP="00CD40C4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18A8" w:rsidRDefault="007618A8" w:rsidP="00CD40C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8081171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618A8" w:rsidRPr="005D55A3" w:rsidRDefault="007618A8">
        <w:pPr>
          <w:pStyle w:val="a7"/>
          <w:jc w:val="right"/>
          <w:rPr>
            <w:sz w:val="20"/>
            <w:szCs w:val="20"/>
          </w:rPr>
        </w:pPr>
        <w:r w:rsidRPr="005D55A3">
          <w:rPr>
            <w:sz w:val="20"/>
            <w:szCs w:val="20"/>
          </w:rPr>
          <w:fldChar w:fldCharType="begin"/>
        </w:r>
        <w:r w:rsidRPr="005D55A3">
          <w:rPr>
            <w:sz w:val="20"/>
            <w:szCs w:val="20"/>
          </w:rPr>
          <w:instrText>PAGE   \* MERGEFORMAT</w:instrText>
        </w:r>
        <w:r w:rsidRPr="005D55A3">
          <w:rPr>
            <w:sz w:val="20"/>
            <w:szCs w:val="20"/>
          </w:rPr>
          <w:fldChar w:fldCharType="separate"/>
        </w:r>
        <w:r w:rsidR="00C54A0B">
          <w:rPr>
            <w:noProof/>
            <w:sz w:val="20"/>
            <w:szCs w:val="20"/>
          </w:rPr>
          <w:t>9</w:t>
        </w:r>
        <w:r w:rsidRPr="005D55A3">
          <w:rPr>
            <w:sz w:val="20"/>
            <w:szCs w:val="20"/>
          </w:rPr>
          <w:fldChar w:fldCharType="end"/>
        </w:r>
      </w:p>
    </w:sdtContent>
  </w:sdt>
  <w:p w:rsidR="007618A8" w:rsidRDefault="007618A8" w:rsidP="00CD40C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A8" w:rsidRDefault="007618A8">
    <w:pPr>
      <w:pStyle w:val="a7"/>
      <w:jc w:val="right"/>
    </w:pPr>
  </w:p>
  <w:p w:rsidR="007618A8" w:rsidRDefault="007618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3E" w:rsidRDefault="0080273E" w:rsidP="00E314CF">
      <w:r>
        <w:separator/>
      </w:r>
    </w:p>
  </w:footnote>
  <w:footnote w:type="continuationSeparator" w:id="0">
    <w:p w:rsidR="0080273E" w:rsidRDefault="0080273E" w:rsidP="00E3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A8" w:rsidRDefault="007618A8" w:rsidP="00CD40C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18A8" w:rsidRDefault="007618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838"/>
    <w:multiLevelType w:val="hybridMultilevel"/>
    <w:tmpl w:val="31F871B0"/>
    <w:lvl w:ilvl="0" w:tplc="86C81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367EA"/>
    <w:multiLevelType w:val="hybridMultilevel"/>
    <w:tmpl w:val="BEDA3AC4"/>
    <w:lvl w:ilvl="0" w:tplc="5372A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334C9"/>
    <w:multiLevelType w:val="hybridMultilevel"/>
    <w:tmpl w:val="EA124100"/>
    <w:lvl w:ilvl="0" w:tplc="8CB0C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72744"/>
    <w:multiLevelType w:val="hybridMultilevel"/>
    <w:tmpl w:val="0AA6E0AA"/>
    <w:lvl w:ilvl="0" w:tplc="8CF63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B45EC0"/>
    <w:multiLevelType w:val="hybridMultilevel"/>
    <w:tmpl w:val="7F5A1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0E"/>
    <w:rsid w:val="00012462"/>
    <w:rsid w:val="000301EF"/>
    <w:rsid w:val="000340D1"/>
    <w:rsid w:val="00067F7A"/>
    <w:rsid w:val="00087247"/>
    <w:rsid w:val="00087E01"/>
    <w:rsid w:val="000A380A"/>
    <w:rsid w:val="000A6F9C"/>
    <w:rsid w:val="000B7C0E"/>
    <w:rsid w:val="000B7D9C"/>
    <w:rsid w:val="000D4F86"/>
    <w:rsid w:val="000E1FBB"/>
    <w:rsid w:val="000E7AC3"/>
    <w:rsid w:val="00100527"/>
    <w:rsid w:val="00104D0C"/>
    <w:rsid w:val="00132128"/>
    <w:rsid w:val="00153959"/>
    <w:rsid w:val="0017169C"/>
    <w:rsid w:val="001811E9"/>
    <w:rsid w:val="0018252D"/>
    <w:rsid w:val="00183F12"/>
    <w:rsid w:val="001A0F19"/>
    <w:rsid w:val="001A4509"/>
    <w:rsid w:val="001B37FA"/>
    <w:rsid w:val="001E2B53"/>
    <w:rsid w:val="001E3C25"/>
    <w:rsid w:val="001F69FC"/>
    <w:rsid w:val="00214445"/>
    <w:rsid w:val="002149E3"/>
    <w:rsid w:val="00221C80"/>
    <w:rsid w:val="00234192"/>
    <w:rsid w:val="00263423"/>
    <w:rsid w:val="00276622"/>
    <w:rsid w:val="002C1530"/>
    <w:rsid w:val="002C674A"/>
    <w:rsid w:val="002D26B8"/>
    <w:rsid w:val="002D382C"/>
    <w:rsid w:val="002D406E"/>
    <w:rsid w:val="002E7891"/>
    <w:rsid w:val="00305E18"/>
    <w:rsid w:val="00340D2B"/>
    <w:rsid w:val="00343029"/>
    <w:rsid w:val="00346A51"/>
    <w:rsid w:val="00352F11"/>
    <w:rsid w:val="0035417B"/>
    <w:rsid w:val="003638E4"/>
    <w:rsid w:val="00365863"/>
    <w:rsid w:val="0039677C"/>
    <w:rsid w:val="003B6093"/>
    <w:rsid w:val="003D67D1"/>
    <w:rsid w:val="003F1CE6"/>
    <w:rsid w:val="0040591E"/>
    <w:rsid w:val="00417ABB"/>
    <w:rsid w:val="004203CC"/>
    <w:rsid w:val="004233E8"/>
    <w:rsid w:val="00427C63"/>
    <w:rsid w:val="00432BF8"/>
    <w:rsid w:val="00435126"/>
    <w:rsid w:val="00452680"/>
    <w:rsid w:val="00455E0C"/>
    <w:rsid w:val="00467A70"/>
    <w:rsid w:val="004726CE"/>
    <w:rsid w:val="00477D32"/>
    <w:rsid w:val="00496B92"/>
    <w:rsid w:val="004A254A"/>
    <w:rsid w:val="004A7F99"/>
    <w:rsid w:val="004B5DE2"/>
    <w:rsid w:val="004F34AB"/>
    <w:rsid w:val="005054A9"/>
    <w:rsid w:val="005228E6"/>
    <w:rsid w:val="00524674"/>
    <w:rsid w:val="0053509C"/>
    <w:rsid w:val="00535A63"/>
    <w:rsid w:val="00542B4A"/>
    <w:rsid w:val="005475D6"/>
    <w:rsid w:val="00550DF1"/>
    <w:rsid w:val="00555C8B"/>
    <w:rsid w:val="00565449"/>
    <w:rsid w:val="00583020"/>
    <w:rsid w:val="00593C9C"/>
    <w:rsid w:val="005C0E8C"/>
    <w:rsid w:val="005C1D72"/>
    <w:rsid w:val="005D1816"/>
    <w:rsid w:val="005D55A3"/>
    <w:rsid w:val="005E7BE6"/>
    <w:rsid w:val="005F0E99"/>
    <w:rsid w:val="00602B25"/>
    <w:rsid w:val="00605C84"/>
    <w:rsid w:val="006448B6"/>
    <w:rsid w:val="0065281D"/>
    <w:rsid w:val="00654D5D"/>
    <w:rsid w:val="006601F3"/>
    <w:rsid w:val="0066412F"/>
    <w:rsid w:val="00672096"/>
    <w:rsid w:val="006A508C"/>
    <w:rsid w:val="006B46EE"/>
    <w:rsid w:val="006C35C3"/>
    <w:rsid w:val="006E14A1"/>
    <w:rsid w:val="006E5A7D"/>
    <w:rsid w:val="006F386F"/>
    <w:rsid w:val="007004E4"/>
    <w:rsid w:val="00715DE5"/>
    <w:rsid w:val="00716326"/>
    <w:rsid w:val="007207FF"/>
    <w:rsid w:val="007466EC"/>
    <w:rsid w:val="00751CA1"/>
    <w:rsid w:val="007618A8"/>
    <w:rsid w:val="007752DE"/>
    <w:rsid w:val="0078274E"/>
    <w:rsid w:val="00783E41"/>
    <w:rsid w:val="007A57E8"/>
    <w:rsid w:val="007D0805"/>
    <w:rsid w:val="0080273E"/>
    <w:rsid w:val="00805FB3"/>
    <w:rsid w:val="0080689A"/>
    <w:rsid w:val="008221E5"/>
    <w:rsid w:val="00831F58"/>
    <w:rsid w:val="00832555"/>
    <w:rsid w:val="00836143"/>
    <w:rsid w:val="0083674D"/>
    <w:rsid w:val="008570A7"/>
    <w:rsid w:val="00877B82"/>
    <w:rsid w:val="00881A7A"/>
    <w:rsid w:val="00892ABF"/>
    <w:rsid w:val="008A33C6"/>
    <w:rsid w:val="008B23AC"/>
    <w:rsid w:val="008B760B"/>
    <w:rsid w:val="008C6729"/>
    <w:rsid w:val="008D2F45"/>
    <w:rsid w:val="008E3185"/>
    <w:rsid w:val="008F1385"/>
    <w:rsid w:val="008F44E4"/>
    <w:rsid w:val="00901ED6"/>
    <w:rsid w:val="0090408F"/>
    <w:rsid w:val="00905231"/>
    <w:rsid w:val="00914D62"/>
    <w:rsid w:val="00915485"/>
    <w:rsid w:val="00924E0E"/>
    <w:rsid w:val="00927809"/>
    <w:rsid w:val="00930E71"/>
    <w:rsid w:val="0093766E"/>
    <w:rsid w:val="00940B38"/>
    <w:rsid w:val="00940F00"/>
    <w:rsid w:val="0095795B"/>
    <w:rsid w:val="009644FC"/>
    <w:rsid w:val="00971FA1"/>
    <w:rsid w:val="00976522"/>
    <w:rsid w:val="00991F2E"/>
    <w:rsid w:val="00994699"/>
    <w:rsid w:val="00997AC3"/>
    <w:rsid w:val="009A03B2"/>
    <w:rsid w:val="009B3EE7"/>
    <w:rsid w:val="009C011E"/>
    <w:rsid w:val="009D58EE"/>
    <w:rsid w:val="009D613C"/>
    <w:rsid w:val="009F2965"/>
    <w:rsid w:val="009F5110"/>
    <w:rsid w:val="00A062F5"/>
    <w:rsid w:val="00A23396"/>
    <w:rsid w:val="00A25CEF"/>
    <w:rsid w:val="00A33FD2"/>
    <w:rsid w:val="00A34797"/>
    <w:rsid w:val="00A34831"/>
    <w:rsid w:val="00A41F10"/>
    <w:rsid w:val="00A43BFF"/>
    <w:rsid w:val="00A44259"/>
    <w:rsid w:val="00A51EB2"/>
    <w:rsid w:val="00A706F0"/>
    <w:rsid w:val="00A847B7"/>
    <w:rsid w:val="00A84AC4"/>
    <w:rsid w:val="00A8772A"/>
    <w:rsid w:val="00AA281D"/>
    <w:rsid w:val="00AA45E1"/>
    <w:rsid w:val="00AB14CC"/>
    <w:rsid w:val="00AC7C12"/>
    <w:rsid w:val="00AD6A81"/>
    <w:rsid w:val="00AD6FB1"/>
    <w:rsid w:val="00AF2EC5"/>
    <w:rsid w:val="00AF58EF"/>
    <w:rsid w:val="00B01F01"/>
    <w:rsid w:val="00B034B4"/>
    <w:rsid w:val="00B3508C"/>
    <w:rsid w:val="00B43AEC"/>
    <w:rsid w:val="00B47968"/>
    <w:rsid w:val="00B57841"/>
    <w:rsid w:val="00B615CE"/>
    <w:rsid w:val="00B74820"/>
    <w:rsid w:val="00B803A8"/>
    <w:rsid w:val="00B80573"/>
    <w:rsid w:val="00B9798C"/>
    <w:rsid w:val="00BD7F44"/>
    <w:rsid w:val="00BE7C82"/>
    <w:rsid w:val="00C0107B"/>
    <w:rsid w:val="00C1138E"/>
    <w:rsid w:val="00C204D8"/>
    <w:rsid w:val="00C312D6"/>
    <w:rsid w:val="00C33400"/>
    <w:rsid w:val="00C4126D"/>
    <w:rsid w:val="00C54A0B"/>
    <w:rsid w:val="00C66346"/>
    <w:rsid w:val="00C73483"/>
    <w:rsid w:val="00C7608E"/>
    <w:rsid w:val="00C80DE8"/>
    <w:rsid w:val="00C869FE"/>
    <w:rsid w:val="00C94B35"/>
    <w:rsid w:val="00C95EB4"/>
    <w:rsid w:val="00CA5110"/>
    <w:rsid w:val="00CA5CA8"/>
    <w:rsid w:val="00CB5304"/>
    <w:rsid w:val="00CC3556"/>
    <w:rsid w:val="00CD40C4"/>
    <w:rsid w:val="00D03E7D"/>
    <w:rsid w:val="00D12A4C"/>
    <w:rsid w:val="00D14EFD"/>
    <w:rsid w:val="00D27730"/>
    <w:rsid w:val="00D27B6F"/>
    <w:rsid w:val="00D45BEC"/>
    <w:rsid w:val="00D56063"/>
    <w:rsid w:val="00D62F8A"/>
    <w:rsid w:val="00D63EAB"/>
    <w:rsid w:val="00D7135D"/>
    <w:rsid w:val="00D718CE"/>
    <w:rsid w:val="00D75626"/>
    <w:rsid w:val="00D76822"/>
    <w:rsid w:val="00D909D4"/>
    <w:rsid w:val="00D942AC"/>
    <w:rsid w:val="00D95387"/>
    <w:rsid w:val="00DA0601"/>
    <w:rsid w:val="00DB1D3F"/>
    <w:rsid w:val="00DC05A4"/>
    <w:rsid w:val="00DC51A8"/>
    <w:rsid w:val="00DC696C"/>
    <w:rsid w:val="00DD0CD4"/>
    <w:rsid w:val="00DD2574"/>
    <w:rsid w:val="00DD60C4"/>
    <w:rsid w:val="00DE529A"/>
    <w:rsid w:val="00DE5934"/>
    <w:rsid w:val="00E11E54"/>
    <w:rsid w:val="00E13162"/>
    <w:rsid w:val="00E1624C"/>
    <w:rsid w:val="00E314CF"/>
    <w:rsid w:val="00E34CDB"/>
    <w:rsid w:val="00E405C0"/>
    <w:rsid w:val="00E54CC4"/>
    <w:rsid w:val="00E6529C"/>
    <w:rsid w:val="00E736A6"/>
    <w:rsid w:val="00E776EA"/>
    <w:rsid w:val="00E8552B"/>
    <w:rsid w:val="00E86C61"/>
    <w:rsid w:val="00E91036"/>
    <w:rsid w:val="00E948FC"/>
    <w:rsid w:val="00E94F2D"/>
    <w:rsid w:val="00E94FBC"/>
    <w:rsid w:val="00EA06A0"/>
    <w:rsid w:val="00EA3DC5"/>
    <w:rsid w:val="00EB0C4A"/>
    <w:rsid w:val="00EC6F53"/>
    <w:rsid w:val="00EC72AC"/>
    <w:rsid w:val="00EE040E"/>
    <w:rsid w:val="00EE3991"/>
    <w:rsid w:val="00EE7B68"/>
    <w:rsid w:val="00EF66AA"/>
    <w:rsid w:val="00EF79D8"/>
    <w:rsid w:val="00F02DE0"/>
    <w:rsid w:val="00F30C18"/>
    <w:rsid w:val="00F504DC"/>
    <w:rsid w:val="00F50EB8"/>
    <w:rsid w:val="00F5301B"/>
    <w:rsid w:val="00F82DA8"/>
    <w:rsid w:val="00FA7557"/>
    <w:rsid w:val="00FB53FF"/>
    <w:rsid w:val="00FD6377"/>
    <w:rsid w:val="00FD6AF2"/>
    <w:rsid w:val="00FE3D2B"/>
    <w:rsid w:val="00FE55A9"/>
    <w:rsid w:val="00FE7AD4"/>
    <w:rsid w:val="00FF258A"/>
    <w:rsid w:val="00FF3566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0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E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24E0E"/>
    <w:pPr>
      <w:spacing w:before="100" w:beforeAutospacing="1" w:after="100" w:afterAutospacing="1"/>
      <w:outlineLvl w:val="1"/>
    </w:pPr>
    <w:rPr>
      <w:b/>
      <w:bCs/>
      <w:color w:val="2F40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E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4E0E"/>
    <w:rPr>
      <w:rFonts w:eastAsia="Times New Roman"/>
      <w:b/>
      <w:bCs/>
      <w:color w:val="2F4047"/>
      <w:sz w:val="24"/>
      <w:szCs w:val="24"/>
      <w:lang w:eastAsia="ru-RU"/>
    </w:rPr>
  </w:style>
  <w:style w:type="paragraph" w:styleId="a3">
    <w:name w:val="Normal (Web)"/>
    <w:basedOn w:val="a"/>
    <w:rsid w:val="00924E0E"/>
    <w:pPr>
      <w:spacing w:before="30" w:after="30"/>
    </w:pPr>
    <w:rPr>
      <w:rFonts w:ascii="Arial" w:hAnsi="Arial" w:cs="Arial"/>
      <w:sz w:val="18"/>
      <w:szCs w:val="18"/>
    </w:rPr>
  </w:style>
  <w:style w:type="character" w:styleId="a4">
    <w:name w:val="page number"/>
    <w:basedOn w:val="a0"/>
    <w:rsid w:val="00924E0E"/>
  </w:style>
  <w:style w:type="paragraph" w:styleId="a5">
    <w:name w:val="header"/>
    <w:basedOn w:val="a"/>
    <w:link w:val="a6"/>
    <w:rsid w:val="00924E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4E0E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24E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E0E"/>
    <w:rPr>
      <w:rFonts w:eastAsia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E314C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314CF"/>
    <w:rPr>
      <w:rFonts w:eastAsia="Times New Roman"/>
      <w:sz w:val="20"/>
      <w:szCs w:val="20"/>
      <w:lang w:eastAsia="ru-RU"/>
    </w:rPr>
  </w:style>
  <w:style w:type="character" w:styleId="ab">
    <w:name w:val="footnote reference"/>
    <w:aliases w:val="текст сноски"/>
    <w:rsid w:val="00E314CF"/>
    <w:rPr>
      <w:vertAlign w:val="superscript"/>
    </w:rPr>
  </w:style>
  <w:style w:type="paragraph" w:styleId="ac">
    <w:name w:val="List Paragraph"/>
    <w:basedOn w:val="a"/>
    <w:uiPriority w:val="34"/>
    <w:qFormat/>
    <w:rsid w:val="001005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03E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3E7D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66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rsid w:val="00D45BE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DC84-AD0F-4432-8527-3047F15D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8228</Words>
  <Characters>46903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2015-04-23T14:52:00Z</cp:lastPrinted>
  <dcterms:created xsi:type="dcterms:W3CDTF">2015-05-21T14:50:00Z</dcterms:created>
  <dcterms:modified xsi:type="dcterms:W3CDTF">2015-05-21T14:50:00Z</dcterms:modified>
</cp:coreProperties>
</file>